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E11F" w14:textId="3D6B53AE" w:rsidR="004E428A" w:rsidRPr="00D655D2" w:rsidRDefault="00ED29F0" w:rsidP="00371A1B">
      <w:pPr>
        <w:pBdr>
          <w:bottom w:val="single" w:sz="4" w:space="2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70424" w:rsidRPr="00D655D2">
        <w:rPr>
          <w:rFonts w:ascii="Times New Roman" w:hAnsi="Times New Roman" w:cs="Times New Roman"/>
          <w:b/>
          <w:sz w:val="28"/>
          <w:szCs w:val="24"/>
        </w:rPr>
        <w:t xml:space="preserve">OBRAZLOŽENJE UZ </w:t>
      </w:r>
      <w:r w:rsidR="00C60F67" w:rsidRPr="00D655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E273E" w:rsidRPr="00D655D2">
        <w:rPr>
          <w:rFonts w:ascii="Times New Roman" w:hAnsi="Times New Roman" w:cs="Times New Roman"/>
          <w:b/>
          <w:sz w:val="28"/>
          <w:szCs w:val="24"/>
        </w:rPr>
        <w:t>POLUGODIŠNJI</w:t>
      </w:r>
      <w:r w:rsidR="00970424" w:rsidRPr="00D655D2">
        <w:rPr>
          <w:rFonts w:ascii="Times New Roman" w:hAnsi="Times New Roman" w:cs="Times New Roman"/>
          <w:b/>
          <w:sz w:val="28"/>
          <w:szCs w:val="24"/>
        </w:rPr>
        <w:t xml:space="preserve"> IZVJEŠTAJ</w:t>
      </w:r>
      <w:r w:rsidR="004E428A" w:rsidRPr="00D655D2">
        <w:rPr>
          <w:rFonts w:ascii="Times New Roman" w:hAnsi="Times New Roman" w:cs="Times New Roman"/>
          <w:b/>
          <w:sz w:val="28"/>
          <w:szCs w:val="24"/>
        </w:rPr>
        <w:t xml:space="preserve"> O IZVRŠENJU</w:t>
      </w:r>
      <w:r w:rsidR="00970424" w:rsidRPr="00D655D2">
        <w:rPr>
          <w:rFonts w:ascii="Times New Roman" w:hAnsi="Times New Roman" w:cs="Times New Roman"/>
          <w:b/>
          <w:sz w:val="28"/>
          <w:szCs w:val="24"/>
        </w:rPr>
        <w:t xml:space="preserve"> PRORAČUNA</w:t>
      </w:r>
      <w:r w:rsidR="00D655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70424" w:rsidRPr="00D655D2">
        <w:rPr>
          <w:rFonts w:ascii="Times New Roman" w:hAnsi="Times New Roman" w:cs="Times New Roman"/>
          <w:b/>
          <w:sz w:val="28"/>
          <w:szCs w:val="24"/>
        </w:rPr>
        <w:t xml:space="preserve">GRADA </w:t>
      </w:r>
      <w:r w:rsidR="004E273E" w:rsidRPr="00D655D2">
        <w:rPr>
          <w:rFonts w:ascii="Times New Roman" w:hAnsi="Times New Roman" w:cs="Times New Roman"/>
          <w:b/>
          <w:sz w:val="28"/>
          <w:szCs w:val="24"/>
        </w:rPr>
        <w:t xml:space="preserve">POREČA-PARENZO </w:t>
      </w:r>
      <w:r w:rsidR="00671FED" w:rsidRPr="00D655D2">
        <w:rPr>
          <w:rFonts w:ascii="Times New Roman" w:hAnsi="Times New Roman" w:cs="Times New Roman"/>
          <w:b/>
          <w:sz w:val="28"/>
          <w:szCs w:val="24"/>
        </w:rPr>
        <w:t>ZA 20</w:t>
      </w:r>
      <w:r w:rsidR="004860DA">
        <w:rPr>
          <w:rFonts w:ascii="Times New Roman" w:hAnsi="Times New Roman" w:cs="Times New Roman"/>
          <w:b/>
          <w:sz w:val="28"/>
          <w:szCs w:val="24"/>
        </w:rPr>
        <w:t>2</w:t>
      </w:r>
      <w:r w:rsidR="0033389D">
        <w:rPr>
          <w:rFonts w:ascii="Times New Roman" w:hAnsi="Times New Roman" w:cs="Times New Roman"/>
          <w:b/>
          <w:sz w:val="28"/>
          <w:szCs w:val="24"/>
        </w:rPr>
        <w:t>5</w:t>
      </w:r>
      <w:r w:rsidR="004E428A" w:rsidRPr="00D655D2">
        <w:rPr>
          <w:rFonts w:ascii="Times New Roman" w:hAnsi="Times New Roman" w:cs="Times New Roman"/>
          <w:b/>
          <w:sz w:val="28"/>
          <w:szCs w:val="24"/>
        </w:rPr>
        <w:t>. GODINU</w:t>
      </w:r>
    </w:p>
    <w:p w14:paraId="5CC05533" w14:textId="77777777" w:rsidR="008C4DC8" w:rsidRPr="00270A9B" w:rsidRDefault="008C4DC8" w:rsidP="008C4DC8">
      <w:pPr>
        <w:pStyle w:val="Odlomakpopisa"/>
        <w:ind w:left="1211"/>
        <w:rPr>
          <w:rFonts w:ascii="Times New Roman" w:hAnsi="Times New Roman" w:cs="Times New Roman"/>
          <w:b/>
          <w:sz w:val="28"/>
          <w:szCs w:val="28"/>
        </w:rPr>
      </w:pPr>
    </w:p>
    <w:p w14:paraId="599177CB" w14:textId="77777777" w:rsidR="00640021" w:rsidRPr="00270A9B" w:rsidRDefault="00640021" w:rsidP="006400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70A9B">
        <w:rPr>
          <w:rFonts w:ascii="Times New Roman" w:hAnsi="Times New Roman" w:cs="Times New Roman"/>
          <w:b/>
          <w:sz w:val="28"/>
          <w:szCs w:val="28"/>
        </w:rPr>
        <w:t>UVOD</w:t>
      </w:r>
    </w:p>
    <w:p w14:paraId="440503B7" w14:textId="77777777" w:rsidR="00A32EC2" w:rsidRDefault="00A32EC2" w:rsidP="00C305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2DAC08" w14:textId="2A316539" w:rsidR="00640021" w:rsidRPr="00366D07" w:rsidRDefault="00640021" w:rsidP="00C305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D07">
        <w:rPr>
          <w:rFonts w:ascii="Times New Roman" w:hAnsi="Times New Roman" w:cs="Times New Roman"/>
          <w:sz w:val="24"/>
          <w:szCs w:val="24"/>
        </w:rPr>
        <w:t xml:space="preserve">Zakonom </w:t>
      </w:r>
      <w:r w:rsidR="00FF3D9C" w:rsidRPr="00366D07">
        <w:rPr>
          <w:rFonts w:ascii="Times New Roman" w:hAnsi="Times New Roman" w:cs="Times New Roman"/>
          <w:sz w:val="24"/>
          <w:szCs w:val="24"/>
        </w:rPr>
        <w:t>o proračunu (NN</w:t>
      </w:r>
      <w:r w:rsidRPr="00366D07">
        <w:rPr>
          <w:rFonts w:ascii="Times New Roman" w:hAnsi="Times New Roman" w:cs="Times New Roman"/>
          <w:sz w:val="24"/>
          <w:szCs w:val="24"/>
        </w:rPr>
        <w:t xml:space="preserve"> broj </w:t>
      </w:r>
      <w:r w:rsidR="00CA1496">
        <w:rPr>
          <w:rFonts w:ascii="Times New Roman" w:hAnsi="Times New Roman" w:cs="Times New Roman"/>
          <w:sz w:val="24"/>
          <w:szCs w:val="24"/>
        </w:rPr>
        <w:t>144/2021</w:t>
      </w:r>
      <w:r w:rsidRPr="00366D07">
        <w:rPr>
          <w:rFonts w:ascii="Times New Roman" w:hAnsi="Times New Roman" w:cs="Times New Roman"/>
          <w:sz w:val="24"/>
          <w:szCs w:val="24"/>
        </w:rPr>
        <w:t>) propisana je ob</w:t>
      </w:r>
      <w:r w:rsidR="00AA5594" w:rsidRPr="00366D07">
        <w:rPr>
          <w:rFonts w:ascii="Times New Roman" w:hAnsi="Times New Roman" w:cs="Times New Roman"/>
          <w:sz w:val="24"/>
          <w:szCs w:val="24"/>
        </w:rPr>
        <w:t xml:space="preserve">veza sastavljanja i podnošenja </w:t>
      </w:r>
      <w:r w:rsidR="004E273E" w:rsidRPr="00366D07">
        <w:rPr>
          <w:rFonts w:ascii="Times New Roman" w:hAnsi="Times New Roman" w:cs="Times New Roman"/>
          <w:sz w:val="24"/>
          <w:szCs w:val="24"/>
        </w:rPr>
        <w:t>polug</w:t>
      </w:r>
      <w:r w:rsidRPr="00366D07">
        <w:rPr>
          <w:rFonts w:ascii="Times New Roman" w:hAnsi="Times New Roman" w:cs="Times New Roman"/>
          <w:sz w:val="24"/>
          <w:szCs w:val="24"/>
        </w:rPr>
        <w:t>odišnjeg izvještaja o izvršenju proračuna za</w:t>
      </w:r>
      <w:r w:rsidR="0004177D" w:rsidRPr="00366D07">
        <w:rPr>
          <w:rFonts w:ascii="Times New Roman" w:hAnsi="Times New Roman" w:cs="Times New Roman"/>
          <w:sz w:val="24"/>
          <w:szCs w:val="24"/>
        </w:rPr>
        <w:t xml:space="preserve"> </w:t>
      </w:r>
      <w:r w:rsidRPr="00366D07">
        <w:rPr>
          <w:rFonts w:ascii="Times New Roman" w:hAnsi="Times New Roman" w:cs="Times New Roman"/>
          <w:sz w:val="24"/>
          <w:szCs w:val="24"/>
        </w:rPr>
        <w:t xml:space="preserve">tekuću </w:t>
      </w:r>
      <w:r w:rsidR="00E17913" w:rsidRPr="00366D07">
        <w:rPr>
          <w:rFonts w:ascii="Times New Roman" w:hAnsi="Times New Roman" w:cs="Times New Roman"/>
          <w:sz w:val="24"/>
          <w:szCs w:val="24"/>
        </w:rPr>
        <w:t xml:space="preserve">proračunsku </w:t>
      </w:r>
      <w:r w:rsidRPr="00366D07">
        <w:rPr>
          <w:rFonts w:ascii="Times New Roman" w:hAnsi="Times New Roman" w:cs="Times New Roman"/>
          <w:sz w:val="24"/>
          <w:szCs w:val="24"/>
        </w:rPr>
        <w:t>godinu na donošenje predstavničkom tijelu JLS.</w:t>
      </w:r>
    </w:p>
    <w:p w14:paraId="32ED3EF9" w14:textId="77777777" w:rsidR="00A32EC2" w:rsidRDefault="00A32EC2" w:rsidP="00C305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F43EBC" w14:textId="24678886" w:rsidR="00640021" w:rsidRDefault="00640021" w:rsidP="00C305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D07">
        <w:rPr>
          <w:rFonts w:ascii="Times New Roman" w:hAnsi="Times New Roman" w:cs="Times New Roman"/>
          <w:sz w:val="24"/>
          <w:szCs w:val="24"/>
        </w:rPr>
        <w:t xml:space="preserve">Na sadržaj </w:t>
      </w:r>
      <w:r w:rsidR="002F0D52" w:rsidRPr="00366D07">
        <w:rPr>
          <w:rFonts w:ascii="Times New Roman" w:hAnsi="Times New Roman" w:cs="Times New Roman"/>
          <w:sz w:val="24"/>
          <w:szCs w:val="24"/>
        </w:rPr>
        <w:t>P</w:t>
      </w:r>
      <w:r w:rsidR="004E273E" w:rsidRPr="00366D07">
        <w:rPr>
          <w:rFonts w:ascii="Times New Roman" w:hAnsi="Times New Roman" w:cs="Times New Roman"/>
          <w:sz w:val="24"/>
          <w:szCs w:val="24"/>
        </w:rPr>
        <w:t>olu</w:t>
      </w:r>
      <w:r w:rsidRPr="00366D07">
        <w:rPr>
          <w:rFonts w:ascii="Times New Roman" w:hAnsi="Times New Roman" w:cs="Times New Roman"/>
          <w:sz w:val="24"/>
          <w:szCs w:val="24"/>
        </w:rPr>
        <w:t xml:space="preserve">godišnjeg izvještaja o izvršenju proračuna primjenjuje se odredba članka </w:t>
      </w:r>
      <w:r w:rsidR="002F6927">
        <w:rPr>
          <w:rFonts w:ascii="Times New Roman" w:hAnsi="Times New Roman" w:cs="Times New Roman"/>
          <w:sz w:val="24"/>
          <w:szCs w:val="24"/>
        </w:rPr>
        <w:t>76</w:t>
      </w:r>
      <w:r w:rsidRPr="00366D07">
        <w:rPr>
          <w:rFonts w:ascii="Times New Roman" w:hAnsi="Times New Roman" w:cs="Times New Roman"/>
          <w:sz w:val="24"/>
          <w:szCs w:val="24"/>
        </w:rPr>
        <w:t xml:space="preserve">. </w:t>
      </w:r>
      <w:r w:rsidR="00E17913" w:rsidRPr="00366D07">
        <w:rPr>
          <w:rFonts w:ascii="Times New Roman" w:hAnsi="Times New Roman" w:cs="Times New Roman"/>
          <w:sz w:val="24"/>
          <w:szCs w:val="24"/>
        </w:rPr>
        <w:t xml:space="preserve">stavka </w:t>
      </w:r>
      <w:r w:rsidR="002F6927">
        <w:rPr>
          <w:rFonts w:ascii="Times New Roman" w:hAnsi="Times New Roman" w:cs="Times New Roman"/>
          <w:sz w:val="24"/>
          <w:szCs w:val="24"/>
        </w:rPr>
        <w:t>1</w:t>
      </w:r>
      <w:r w:rsidR="00E17913" w:rsidRPr="00366D07">
        <w:rPr>
          <w:rFonts w:ascii="Times New Roman" w:hAnsi="Times New Roman" w:cs="Times New Roman"/>
          <w:sz w:val="24"/>
          <w:szCs w:val="24"/>
        </w:rPr>
        <w:t xml:space="preserve">. Zakona o proračunu, temeljem kojeg je donijet Pravilnik o polugodišnjem i godišnjem izvještaju o izvršenju proračuna (NN broj </w:t>
      </w:r>
      <w:r w:rsidR="00CA3FF5">
        <w:rPr>
          <w:rFonts w:ascii="Times New Roman" w:hAnsi="Times New Roman" w:cs="Times New Roman"/>
          <w:sz w:val="24"/>
          <w:szCs w:val="24"/>
        </w:rPr>
        <w:t>85/2023</w:t>
      </w:r>
      <w:r w:rsidR="00FD6FA5" w:rsidRPr="00366D07">
        <w:rPr>
          <w:rFonts w:ascii="Times New Roman" w:hAnsi="Times New Roman" w:cs="Times New Roman"/>
          <w:sz w:val="24"/>
          <w:szCs w:val="24"/>
        </w:rPr>
        <w:t>). Pravilnikom je propisan sadržaj polugodišnjeg izvještaja o i</w:t>
      </w:r>
      <w:r w:rsidR="00CA3FF5">
        <w:rPr>
          <w:rFonts w:ascii="Times New Roman" w:hAnsi="Times New Roman" w:cs="Times New Roman"/>
          <w:sz w:val="24"/>
          <w:szCs w:val="24"/>
        </w:rPr>
        <w:t>zvršenju proračuna, koji sadrži opći dio, posebni dio, obrazloženje i posebne izvještaje. Prihodi i primici, rashodi i izdaci u polugodišnjem izvještaju o izvršenju proračuna iskazuju se na razini odjeljka ekonomske klasifikacije (IV. razina)</w:t>
      </w:r>
      <w:r w:rsidR="00A00160">
        <w:rPr>
          <w:rFonts w:ascii="Times New Roman" w:hAnsi="Times New Roman" w:cs="Times New Roman"/>
          <w:sz w:val="24"/>
          <w:szCs w:val="24"/>
        </w:rPr>
        <w:t>.</w:t>
      </w:r>
    </w:p>
    <w:p w14:paraId="44318E0C" w14:textId="20A73703" w:rsidR="00A00160" w:rsidRPr="00A00160" w:rsidRDefault="00A00160" w:rsidP="00C305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>Izvještaj o izvršenju proračuna na dan 30.06.202</w:t>
      </w:r>
      <w:r w:rsidR="0033389D">
        <w:rPr>
          <w:rFonts w:ascii="Times New Roman" w:hAnsi="Times New Roman" w:cs="Times New Roman"/>
          <w:sz w:val="24"/>
          <w:szCs w:val="24"/>
        </w:rPr>
        <w:t>5</w:t>
      </w:r>
      <w:r w:rsidRPr="00A00160">
        <w:rPr>
          <w:rFonts w:ascii="Times New Roman" w:hAnsi="Times New Roman" w:cs="Times New Roman"/>
          <w:sz w:val="24"/>
          <w:szCs w:val="24"/>
        </w:rPr>
        <w:t>. godine  sadrži:</w:t>
      </w:r>
    </w:p>
    <w:p w14:paraId="6D177A86" w14:textId="5613511B" w:rsidR="0004177D" w:rsidRPr="00A00160" w:rsidRDefault="00A0016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 xml:space="preserve">Sažetak </w:t>
      </w:r>
      <w:r w:rsidR="00FD6FA5" w:rsidRPr="00A00160">
        <w:rPr>
          <w:rFonts w:ascii="Times New Roman" w:hAnsi="Times New Roman" w:cs="Times New Roman"/>
          <w:sz w:val="24"/>
          <w:szCs w:val="24"/>
        </w:rPr>
        <w:t>Račun</w:t>
      </w:r>
      <w:r w:rsidRPr="00A00160">
        <w:rPr>
          <w:rFonts w:ascii="Times New Roman" w:hAnsi="Times New Roman" w:cs="Times New Roman"/>
          <w:sz w:val="24"/>
          <w:szCs w:val="24"/>
        </w:rPr>
        <w:t>a</w:t>
      </w:r>
      <w:r w:rsidR="00FD6FA5" w:rsidRPr="00A00160">
        <w:rPr>
          <w:rFonts w:ascii="Times New Roman" w:hAnsi="Times New Roman" w:cs="Times New Roman"/>
          <w:sz w:val="24"/>
          <w:szCs w:val="24"/>
        </w:rPr>
        <w:t xml:space="preserve"> prihoda i rashoda i Račun</w:t>
      </w:r>
      <w:r w:rsidRPr="00A00160">
        <w:rPr>
          <w:rFonts w:ascii="Times New Roman" w:hAnsi="Times New Roman" w:cs="Times New Roman"/>
          <w:sz w:val="24"/>
          <w:szCs w:val="24"/>
        </w:rPr>
        <w:t>a</w:t>
      </w:r>
      <w:r w:rsidR="00FD6FA5" w:rsidRPr="00A00160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2923D3" w:rsidRPr="00A00160">
        <w:rPr>
          <w:rFonts w:ascii="Times New Roman" w:hAnsi="Times New Roman" w:cs="Times New Roman"/>
          <w:sz w:val="24"/>
          <w:szCs w:val="24"/>
        </w:rPr>
        <w:t>,</w:t>
      </w:r>
    </w:p>
    <w:p w14:paraId="3E1B6B73" w14:textId="0554518C" w:rsidR="00A00160" w:rsidRPr="00A00160" w:rsidRDefault="00A0016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0EC9223B" w14:textId="6979524B" w:rsidR="00A00160" w:rsidRPr="00A00160" w:rsidRDefault="00A0016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>Račun financiranja</w:t>
      </w:r>
    </w:p>
    <w:p w14:paraId="38C46AC7" w14:textId="4EADD135" w:rsidR="002923D3" w:rsidRPr="00A00160" w:rsidRDefault="00ED29F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923D3" w:rsidRPr="00A00160">
        <w:rPr>
          <w:rFonts w:ascii="Times New Roman" w:hAnsi="Times New Roman" w:cs="Times New Roman"/>
          <w:sz w:val="24"/>
          <w:szCs w:val="24"/>
        </w:rPr>
        <w:t>osebni dio proračuna po organizacijskoj i programskoj klasifikaciji na razini</w:t>
      </w:r>
    </w:p>
    <w:p w14:paraId="6241371F" w14:textId="77777777" w:rsidR="0004177D" w:rsidRPr="00A00160" w:rsidRDefault="002923D3" w:rsidP="00C305CC">
      <w:pPr>
        <w:pStyle w:val="Odlomakpopisa"/>
        <w:ind w:left="709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>odjeljka ekonomske klasifikacije,</w:t>
      </w:r>
    </w:p>
    <w:p w14:paraId="7AEC9080" w14:textId="52EF2982" w:rsidR="002923D3" w:rsidRPr="00A00160" w:rsidRDefault="00ED29F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923D3" w:rsidRPr="00A00160">
        <w:rPr>
          <w:rFonts w:ascii="Times New Roman" w:hAnsi="Times New Roman" w:cs="Times New Roman"/>
          <w:sz w:val="24"/>
          <w:szCs w:val="24"/>
        </w:rPr>
        <w:t>zvještaj o zaduživanju na domaćem i stranom tržištu novca i kapitala,</w:t>
      </w:r>
    </w:p>
    <w:p w14:paraId="60708272" w14:textId="384DC6AB" w:rsidR="002923D3" w:rsidRPr="00A00160" w:rsidRDefault="00ED29F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923D3" w:rsidRPr="00A00160">
        <w:rPr>
          <w:rFonts w:ascii="Times New Roman" w:hAnsi="Times New Roman" w:cs="Times New Roman"/>
          <w:sz w:val="24"/>
          <w:szCs w:val="24"/>
        </w:rPr>
        <w:t>zvještaj o korištenju proračunske zalihe,</w:t>
      </w:r>
    </w:p>
    <w:p w14:paraId="57494AAC" w14:textId="13966D22" w:rsidR="002923D3" w:rsidRPr="00A00160" w:rsidRDefault="00ED29F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923D3" w:rsidRPr="00A00160">
        <w:rPr>
          <w:rFonts w:ascii="Times New Roman" w:hAnsi="Times New Roman" w:cs="Times New Roman"/>
          <w:sz w:val="24"/>
          <w:szCs w:val="24"/>
        </w:rPr>
        <w:t>zvještaj o danim jamstvima i izdacima po jamstvima,</w:t>
      </w:r>
    </w:p>
    <w:p w14:paraId="0CE66926" w14:textId="7497DACE" w:rsidR="00651060" w:rsidRPr="00A00160" w:rsidRDefault="00ED29F0" w:rsidP="00467F04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923D3" w:rsidRPr="00A00160">
        <w:rPr>
          <w:rFonts w:ascii="Times New Roman" w:hAnsi="Times New Roman" w:cs="Times New Roman"/>
          <w:sz w:val="24"/>
          <w:szCs w:val="24"/>
        </w:rPr>
        <w:t>brazloženje o</w:t>
      </w:r>
      <w:r w:rsidR="00A00160" w:rsidRPr="00A00160">
        <w:rPr>
          <w:rFonts w:ascii="Times New Roman" w:hAnsi="Times New Roman" w:cs="Times New Roman"/>
          <w:sz w:val="24"/>
          <w:szCs w:val="24"/>
        </w:rPr>
        <w:t xml:space="preserve">pćeg dijela izvještaja o izvršenju proračuna </w:t>
      </w:r>
    </w:p>
    <w:p w14:paraId="7E5C8C4D" w14:textId="5F18889D" w:rsidR="00970424" w:rsidRPr="00AC01C0" w:rsidRDefault="00671FED" w:rsidP="001C3225">
      <w:pPr>
        <w:jc w:val="both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>U skladu</w:t>
      </w:r>
      <w:r w:rsidR="002923D3" w:rsidRPr="00A00160">
        <w:rPr>
          <w:rFonts w:ascii="Times New Roman" w:hAnsi="Times New Roman" w:cs="Times New Roman"/>
          <w:sz w:val="24"/>
          <w:szCs w:val="24"/>
        </w:rPr>
        <w:t xml:space="preserve"> </w:t>
      </w:r>
      <w:r w:rsidR="00C60F67" w:rsidRPr="00A00160">
        <w:rPr>
          <w:rFonts w:ascii="Times New Roman" w:hAnsi="Times New Roman" w:cs="Times New Roman"/>
          <w:sz w:val="24"/>
          <w:szCs w:val="24"/>
        </w:rPr>
        <w:t xml:space="preserve">sa </w:t>
      </w:r>
      <w:r w:rsidR="002923D3" w:rsidRPr="00A00160">
        <w:rPr>
          <w:rFonts w:ascii="Times New Roman" w:hAnsi="Times New Roman" w:cs="Times New Roman"/>
          <w:sz w:val="24"/>
          <w:szCs w:val="24"/>
        </w:rPr>
        <w:t xml:space="preserve">zakonskom obvezom, sastavljen je </w:t>
      </w:r>
      <w:r w:rsidR="00FD6FA5" w:rsidRPr="00A00160">
        <w:rPr>
          <w:rFonts w:ascii="Times New Roman" w:hAnsi="Times New Roman" w:cs="Times New Roman"/>
          <w:sz w:val="24"/>
          <w:szCs w:val="24"/>
        </w:rPr>
        <w:t>Polug</w:t>
      </w:r>
      <w:r w:rsidR="002923D3" w:rsidRPr="00A00160">
        <w:rPr>
          <w:rFonts w:ascii="Times New Roman" w:hAnsi="Times New Roman" w:cs="Times New Roman"/>
          <w:sz w:val="24"/>
          <w:szCs w:val="24"/>
        </w:rPr>
        <w:t>odišnji izvještaj o izvršenju</w:t>
      </w:r>
      <w:r w:rsidR="0004177D" w:rsidRPr="00A00160">
        <w:rPr>
          <w:rFonts w:ascii="Times New Roman" w:hAnsi="Times New Roman" w:cs="Times New Roman"/>
          <w:sz w:val="24"/>
          <w:szCs w:val="24"/>
        </w:rPr>
        <w:t xml:space="preserve"> </w:t>
      </w:r>
      <w:r w:rsidRPr="00A00160">
        <w:rPr>
          <w:rFonts w:ascii="Times New Roman" w:hAnsi="Times New Roman" w:cs="Times New Roman"/>
          <w:sz w:val="24"/>
          <w:szCs w:val="24"/>
        </w:rPr>
        <w:t xml:space="preserve">Proračuna Grada </w:t>
      </w:r>
      <w:r w:rsidR="00FD6FA5" w:rsidRPr="00A00160">
        <w:rPr>
          <w:rFonts w:ascii="Times New Roman" w:hAnsi="Times New Roman" w:cs="Times New Roman"/>
          <w:sz w:val="24"/>
          <w:szCs w:val="24"/>
        </w:rPr>
        <w:t>Poreča-</w:t>
      </w:r>
      <w:proofErr w:type="spellStart"/>
      <w:r w:rsidR="00FD6FA5" w:rsidRPr="00A00160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FD6FA5" w:rsidRPr="00A00160">
        <w:rPr>
          <w:rFonts w:ascii="Times New Roman" w:hAnsi="Times New Roman" w:cs="Times New Roman"/>
          <w:sz w:val="24"/>
          <w:szCs w:val="24"/>
        </w:rPr>
        <w:t xml:space="preserve"> </w:t>
      </w:r>
      <w:r w:rsidRPr="00A00160">
        <w:rPr>
          <w:rFonts w:ascii="Times New Roman" w:hAnsi="Times New Roman" w:cs="Times New Roman"/>
          <w:sz w:val="24"/>
          <w:szCs w:val="24"/>
        </w:rPr>
        <w:t>za 20</w:t>
      </w:r>
      <w:r w:rsidR="0005278E" w:rsidRPr="00A00160">
        <w:rPr>
          <w:rFonts w:ascii="Times New Roman" w:hAnsi="Times New Roman" w:cs="Times New Roman"/>
          <w:sz w:val="24"/>
          <w:szCs w:val="24"/>
        </w:rPr>
        <w:t>2</w:t>
      </w:r>
      <w:r w:rsidR="0033389D">
        <w:rPr>
          <w:rFonts w:ascii="Times New Roman" w:hAnsi="Times New Roman" w:cs="Times New Roman"/>
          <w:sz w:val="24"/>
          <w:szCs w:val="24"/>
        </w:rPr>
        <w:t>5</w:t>
      </w:r>
      <w:r w:rsidR="002923D3" w:rsidRPr="00A00160">
        <w:rPr>
          <w:rFonts w:ascii="Times New Roman" w:hAnsi="Times New Roman" w:cs="Times New Roman"/>
          <w:sz w:val="24"/>
          <w:szCs w:val="24"/>
        </w:rPr>
        <w:t xml:space="preserve">. </w:t>
      </w:r>
      <w:r w:rsidR="00162FEF" w:rsidRPr="00A00160">
        <w:rPr>
          <w:rFonts w:ascii="Times New Roman" w:hAnsi="Times New Roman" w:cs="Times New Roman"/>
          <w:sz w:val="24"/>
          <w:szCs w:val="24"/>
        </w:rPr>
        <w:t>g</w:t>
      </w:r>
      <w:r w:rsidR="002923D3" w:rsidRPr="00A00160">
        <w:rPr>
          <w:rFonts w:ascii="Times New Roman" w:hAnsi="Times New Roman" w:cs="Times New Roman"/>
          <w:sz w:val="24"/>
          <w:szCs w:val="24"/>
        </w:rPr>
        <w:t>odinu</w:t>
      </w:r>
      <w:r w:rsidR="00162FEF" w:rsidRPr="00A00160">
        <w:rPr>
          <w:rFonts w:ascii="Times New Roman" w:hAnsi="Times New Roman" w:cs="Times New Roman"/>
          <w:sz w:val="24"/>
          <w:szCs w:val="24"/>
        </w:rPr>
        <w:t>. Prema odredbama Zakona o proračunu podaci o izvršenju prihoda</w:t>
      </w:r>
      <w:r w:rsidR="0004177D" w:rsidRPr="00A00160">
        <w:rPr>
          <w:rFonts w:ascii="Times New Roman" w:hAnsi="Times New Roman" w:cs="Times New Roman"/>
          <w:sz w:val="24"/>
          <w:szCs w:val="24"/>
        </w:rPr>
        <w:t xml:space="preserve"> i primitaka te</w:t>
      </w:r>
      <w:r w:rsidR="00162FEF" w:rsidRPr="00A00160">
        <w:rPr>
          <w:rFonts w:ascii="Times New Roman" w:hAnsi="Times New Roman" w:cs="Times New Roman"/>
          <w:sz w:val="24"/>
          <w:szCs w:val="24"/>
        </w:rPr>
        <w:t xml:space="preserve"> rashoda</w:t>
      </w:r>
      <w:r w:rsidR="0004177D" w:rsidRPr="00A00160">
        <w:rPr>
          <w:rFonts w:ascii="Times New Roman" w:hAnsi="Times New Roman" w:cs="Times New Roman"/>
          <w:sz w:val="24"/>
          <w:szCs w:val="24"/>
        </w:rPr>
        <w:t xml:space="preserve"> i izdataka,</w:t>
      </w:r>
      <w:r w:rsidR="00162FEF" w:rsidRPr="00A00160">
        <w:rPr>
          <w:rFonts w:ascii="Times New Roman" w:hAnsi="Times New Roman" w:cs="Times New Roman"/>
          <w:sz w:val="24"/>
          <w:szCs w:val="24"/>
        </w:rPr>
        <w:t xml:space="preserve"> iskazani su na razini odj</w:t>
      </w:r>
      <w:r w:rsidR="0004177D" w:rsidRPr="00A00160">
        <w:rPr>
          <w:rFonts w:ascii="Times New Roman" w:hAnsi="Times New Roman" w:cs="Times New Roman"/>
          <w:sz w:val="24"/>
          <w:szCs w:val="24"/>
        </w:rPr>
        <w:t>eljka ekonomske klasifikacije (četvrta razina računskog plana</w:t>
      </w:r>
      <w:r w:rsidR="00162FEF" w:rsidRPr="00A00160">
        <w:rPr>
          <w:rFonts w:ascii="Times New Roman" w:hAnsi="Times New Roman" w:cs="Times New Roman"/>
          <w:sz w:val="24"/>
          <w:szCs w:val="24"/>
        </w:rPr>
        <w:t>), dok su podaci o planu iskazani na manje detalj</w:t>
      </w:r>
      <w:r w:rsidR="00ED29F0">
        <w:rPr>
          <w:rFonts w:ascii="Times New Roman" w:hAnsi="Times New Roman" w:cs="Times New Roman"/>
          <w:sz w:val="24"/>
          <w:szCs w:val="24"/>
        </w:rPr>
        <w:t xml:space="preserve">noj razini odnosno na razini </w:t>
      </w:r>
      <w:r w:rsidR="00162FEF" w:rsidRPr="00A00160">
        <w:rPr>
          <w:rFonts w:ascii="Times New Roman" w:hAnsi="Times New Roman" w:cs="Times New Roman"/>
          <w:sz w:val="24"/>
          <w:szCs w:val="24"/>
        </w:rPr>
        <w:t>skupine ekonoms</w:t>
      </w:r>
      <w:r w:rsidR="0004177D" w:rsidRPr="00A00160">
        <w:rPr>
          <w:rFonts w:ascii="Times New Roman" w:hAnsi="Times New Roman" w:cs="Times New Roman"/>
          <w:sz w:val="24"/>
          <w:szCs w:val="24"/>
        </w:rPr>
        <w:t>ke klasifikacije (</w:t>
      </w:r>
      <w:r w:rsidR="00ED29F0">
        <w:rPr>
          <w:rFonts w:ascii="Times New Roman" w:hAnsi="Times New Roman" w:cs="Times New Roman"/>
          <w:sz w:val="24"/>
          <w:szCs w:val="24"/>
        </w:rPr>
        <w:t>druga</w:t>
      </w:r>
      <w:r w:rsidR="00C60F67" w:rsidRPr="00A00160">
        <w:rPr>
          <w:rFonts w:ascii="Times New Roman" w:hAnsi="Times New Roman" w:cs="Times New Roman"/>
          <w:sz w:val="24"/>
          <w:szCs w:val="24"/>
        </w:rPr>
        <w:t xml:space="preserve"> razina računskog plana</w:t>
      </w:r>
      <w:r w:rsidR="00162FEF" w:rsidRPr="00A00160">
        <w:rPr>
          <w:rFonts w:ascii="Times New Roman" w:hAnsi="Times New Roman" w:cs="Times New Roman"/>
          <w:sz w:val="24"/>
          <w:szCs w:val="24"/>
        </w:rPr>
        <w:t>) sukl</w:t>
      </w:r>
      <w:r w:rsidRPr="00A00160">
        <w:rPr>
          <w:rFonts w:ascii="Times New Roman" w:hAnsi="Times New Roman" w:cs="Times New Roman"/>
          <w:sz w:val="24"/>
          <w:szCs w:val="24"/>
        </w:rPr>
        <w:t>adno usvojenom Proračunu za 20</w:t>
      </w:r>
      <w:r w:rsidR="0005278E" w:rsidRPr="00A00160">
        <w:rPr>
          <w:rFonts w:ascii="Times New Roman" w:hAnsi="Times New Roman" w:cs="Times New Roman"/>
          <w:sz w:val="24"/>
          <w:szCs w:val="24"/>
        </w:rPr>
        <w:t>2</w:t>
      </w:r>
      <w:r w:rsidR="0033389D">
        <w:rPr>
          <w:rFonts w:ascii="Times New Roman" w:hAnsi="Times New Roman" w:cs="Times New Roman"/>
          <w:sz w:val="24"/>
          <w:szCs w:val="24"/>
        </w:rPr>
        <w:t>5</w:t>
      </w:r>
      <w:r w:rsidR="00162FEF" w:rsidRPr="00A00160">
        <w:rPr>
          <w:rFonts w:ascii="Times New Roman" w:hAnsi="Times New Roman" w:cs="Times New Roman"/>
          <w:sz w:val="24"/>
          <w:szCs w:val="24"/>
        </w:rPr>
        <w:t xml:space="preserve">. </w:t>
      </w:r>
      <w:r w:rsidR="00A446FF" w:rsidRPr="00A00160">
        <w:rPr>
          <w:rFonts w:ascii="Times New Roman" w:hAnsi="Times New Roman" w:cs="Times New Roman"/>
          <w:sz w:val="24"/>
          <w:szCs w:val="24"/>
        </w:rPr>
        <w:t>g</w:t>
      </w:r>
      <w:r w:rsidR="00162FEF" w:rsidRPr="00A00160">
        <w:rPr>
          <w:rFonts w:ascii="Times New Roman" w:hAnsi="Times New Roman" w:cs="Times New Roman"/>
          <w:sz w:val="24"/>
          <w:szCs w:val="24"/>
        </w:rPr>
        <w:t>odinu.</w:t>
      </w:r>
    </w:p>
    <w:p w14:paraId="3F7F5A56" w14:textId="303C23D9" w:rsidR="007D3964" w:rsidRPr="00373509" w:rsidRDefault="009E4FD5" w:rsidP="009E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C01C0">
        <w:rPr>
          <w:rFonts w:ascii="Times New Roman" w:hAnsi="Times New Roman" w:cs="Times New Roman"/>
          <w:sz w:val="24"/>
          <w:szCs w:val="24"/>
        </w:rPr>
        <w:t>F</w:t>
      </w:r>
      <w:r w:rsidR="00162FEF" w:rsidRPr="00AC01C0">
        <w:rPr>
          <w:rFonts w:ascii="Times New Roman" w:hAnsi="Times New Roman" w:cs="Times New Roman"/>
          <w:sz w:val="24"/>
          <w:szCs w:val="24"/>
        </w:rPr>
        <w:t>inanciranje j</w:t>
      </w:r>
      <w:r w:rsidRPr="00AC01C0">
        <w:rPr>
          <w:rFonts w:ascii="Times New Roman" w:hAnsi="Times New Roman" w:cs="Times New Roman"/>
          <w:sz w:val="24"/>
          <w:szCs w:val="24"/>
        </w:rPr>
        <w:t>avnih rashoda Grada Poreča-</w:t>
      </w:r>
      <w:proofErr w:type="spellStart"/>
      <w:r w:rsidRPr="00AC01C0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AC01C0">
        <w:rPr>
          <w:rFonts w:ascii="Times New Roman" w:hAnsi="Times New Roman" w:cs="Times New Roman"/>
          <w:sz w:val="24"/>
          <w:szCs w:val="24"/>
        </w:rPr>
        <w:t xml:space="preserve"> tijekom prve polovine </w:t>
      </w:r>
      <w:r w:rsidR="00671FED" w:rsidRPr="00AC01C0">
        <w:rPr>
          <w:rFonts w:ascii="Times New Roman" w:hAnsi="Times New Roman" w:cs="Times New Roman"/>
          <w:sz w:val="24"/>
          <w:szCs w:val="24"/>
        </w:rPr>
        <w:t>20</w:t>
      </w:r>
      <w:r w:rsidR="005D2B45" w:rsidRPr="00AC01C0">
        <w:rPr>
          <w:rFonts w:ascii="Times New Roman" w:hAnsi="Times New Roman" w:cs="Times New Roman"/>
          <w:sz w:val="24"/>
          <w:szCs w:val="24"/>
        </w:rPr>
        <w:t>2</w:t>
      </w:r>
      <w:r w:rsidR="0033389D">
        <w:rPr>
          <w:rFonts w:ascii="Times New Roman" w:hAnsi="Times New Roman" w:cs="Times New Roman"/>
          <w:sz w:val="24"/>
          <w:szCs w:val="24"/>
        </w:rPr>
        <w:t>5</w:t>
      </w:r>
      <w:r w:rsidR="00CD6939" w:rsidRPr="00AC01C0">
        <w:rPr>
          <w:rFonts w:ascii="Times New Roman" w:hAnsi="Times New Roman" w:cs="Times New Roman"/>
          <w:sz w:val="24"/>
          <w:szCs w:val="24"/>
        </w:rPr>
        <w:t>. godine</w:t>
      </w:r>
      <w:r w:rsidR="00162FEF" w:rsidRPr="00AC01C0">
        <w:rPr>
          <w:rFonts w:ascii="Times New Roman" w:hAnsi="Times New Roman" w:cs="Times New Roman"/>
          <w:sz w:val="24"/>
          <w:szCs w:val="24"/>
        </w:rPr>
        <w:t xml:space="preserve"> </w:t>
      </w:r>
      <w:r w:rsidRPr="00AC01C0">
        <w:rPr>
          <w:rFonts w:ascii="Times New Roman" w:hAnsi="Times New Roman" w:cs="Times New Roman"/>
          <w:sz w:val="24"/>
          <w:szCs w:val="24"/>
        </w:rPr>
        <w:t xml:space="preserve">izvršeno je temeljem </w:t>
      </w:r>
      <w:r w:rsidR="00671FED" w:rsidRPr="00AC01C0">
        <w:rPr>
          <w:rFonts w:ascii="Times New Roman" w:hAnsi="Times New Roman" w:cs="Times New Roman"/>
          <w:sz w:val="24"/>
          <w:szCs w:val="24"/>
        </w:rPr>
        <w:t>Proračun</w:t>
      </w:r>
      <w:r w:rsidRPr="00AC01C0">
        <w:rPr>
          <w:rFonts w:ascii="Times New Roman" w:hAnsi="Times New Roman" w:cs="Times New Roman"/>
          <w:sz w:val="24"/>
          <w:szCs w:val="24"/>
        </w:rPr>
        <w:t>a</w:t>
      </w:r>
      <w:r w:rsidR="00671FED" w:rsidRPr="00AC01C0">
        <w:rPr>
          <w:rFonts w:ascii="Times New Roman" w:hAnsi="Times New Roman" w:cs="Times New Roman"/>
          <w:sz w:val="24"/>
          <w:szCs w:val="24"/>
        </w:rPr>
        <w:t xml:space="preserve"> Grada </w:t>
      </w:r>
      <w:r w:rsidR="00C60F67" w:rsidRPr="00AC01C0">
        <w:rPr>
          <w:rFonts w:ascii="Times New Roman" w:hAnsi="Times New Roman" w:cs="Times New Roman"/>
          <w:sz w:val="24"/>
          <w:szCs w:val="24"/>
        </w:rPr>
        <w:t>Poreča-</w:t>
      </w:r>
      <w:proofErr w:type="spellStart"/>
      <w:r w:rsidR="00C60F67" w:rsidRPr="00AC01C0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C60F67" w:rsidRPr="00AC01C0">
        <w:rPr>
          <w:rFonts w:ascii="Times New Roman" w:hAnsi="Times New Roman" w:cs="Times New Roman"/>
          <w:sz w:val="24"/>
          <w:szCs w:val="24"/>
        </w:rPr>
        <w:t xml:space="preserve"> </w:t>
      </w:r>
      <w:r w:rsidR="00671FED" w:rsidRPr="00AC01C0">
        <w:rPr>
          <w:rFonts w:ascii="Times New Roman" w:hAnsi="Times New Roman" w:cs="Times New Roman"/>
          <w:sz w:val="24"/>
          <w:szCs w:val="24"/>
        </w:rPr>
        <w:t>za 20</w:t>
      </w:r>
      <w:r w:rsidR="001E34E0" w:rsidRPr="00AC01C0">
        <w:rPr>
          <w:rFonts w:ascii="Times New Roman" w:hAnsi="Times New Roman" w:cs="Times New Roman"/>
          <w:sz w:val="24"/>
          <w:szCs w:val="24"/>
        </w:rPr>
        <w:t>2</w:t>
      </w:r>
      <w:r w:rsidR="0033389D">
        <w:rPr>
          <w:rFonts w:ascii="Times New Roman" w:hAnsi="Times New Roman" w:cs="Times New Roman"/>
          <w:sz w:val="24"/>
          <w:szCs w:val="24"/>
        </w:rPr>
        <w:t>5</w:t>
      </w:r>
      <w:r w:rsidR="006A511A" w:rsidRPr="00AC01C0">
        <w:rPr>
          <w:rFonts w:ascii="Times New Roman" w:hAnsi="Times New Roman" w:cs="Times New Roman"/>
          <w:sz w:val="24"/>
          <w:szCs w:val="24"/>
        </w:rPr>
        <w:t xml:space="preserve">. godinu i projekcija </w:t>
      </w:r>
      <w:r w:rsidR="00AC6EF9" w:rsidRPr="00AC01C0">
        <w:rPr>
          <w:rFonts w:ascii="Times New Roman" w:hAnsi="Times New Roman" w:cs="Times New Roman"/>
          <w:sz w:val="24"/>
          <w:szCs w:val="24"/>
        </w:rPr>
        <w:t>za 20</w:t>
      </w:r>
      <w:r w:rsidR="00331A81" w:rsidRPr="00AC01C0">
        <w:rPr>
          <w:rFonts w:ascii="Times New Roman" w:hAnsi="Times New Roman" w:cs="Times New Roman"/>
          <w:sz w:val="24"/>
          <w:szCs w:val="24"/>
        </w:rPr>
        <w:t>2</w:t>
      </w:r>
      <w:r w:rsidR="0033389D">
        <w:rPr>
          <w:rFonts w:ascii="Times New Roman" w:hAnsi="Times New Roman" w:cs="Times New Roman"/>
          <w:sz w:val="24"/>
          <w:szCs w:val="24"/>
        </w:rPr>
        <w:t>6</w:t>
      </w:r>
      <w:r w:rsidR="00AC6EF9" w:rsidRPr="00AC01C0">
        <w:rPr>
          <w:rFonts w:ascii="Times New Roman" w:hAnsi="Times New Roman" w:cs="Times New Roman"/>
          <w:sz w:val="24"/>
          <w:szCs w:val="24"/>
        </w:rPr>
        <w:t>. i 20</w:t>
      </w:r>
      <w:r w:rsidR="00DD28C5" w:rsidRPr="00AC01C0">
        <w:rPr>
          <w:rFonts w:ascii="Times New Roman" w:hAnsi="Times New Roman" w:cs="Times New Roman"/>
          <w:sz w:val="24"/>
          <w:szCs w:val="24"/>
        </w:rPr>
        <w:t>2</w:t>
      </w:r>
      <w:r w:rsidR="0033389D">
        <w:rPr>
          <w:rFonts w:ascii="Times New Roman" w:hAnsi="Times New Roman" w:cs="Times New Roman"/>
          <w:sz w:val="24"/>
          <w:szCs w:val="24"/>
        </w:rPr>
        <w:t>7</w:t>
      </w:r>
      <w:r w:rsidR="00AC6EF9" w:rsidRPr="00AC01C0">
        <w:rPr>
          <w:rFonts w:ascii="Times New Roman" w:hAnsi="Times New Roman" w:cs="Times New Roman"/>
          <w:sz w:val="24"/>
          <w:szCs w:val="24"/>
        </w:rPr>
        <w:t xml:space="preserve">. godinu </w:t>
      </w:r>
      <w:r w:rsidR="001076EF" w:rsidRPr="00AC01C0">
        <w:rPr>
          <w:rFonts w:ascii="Times New Roman" w:hAnsi="Times New Roman" w:cs="Times New Roman"/>
          <w:sz w:val="24"/>
          <w:szCs w:val="24"/>
        </w:rPr>
        <w:t>i</w:t>
      </w:r>
      <w:r w:rsidRPr="00AC01C0">
        <w:rPr>
          <w:rFonts w:ascii="Times New Roman" w:hAnsi="Times New Roman" w:cs="Times New Roman"/>
          <w:sz w:val="24"/>
          <w:szCs w:val="24"/>
        </w:rPr>
        <w:t xml:space="preserve"> Odluke</w:t>
      </w:r>
      <w:r w:rsidR="00A446FF" w:rsidRPr="00AC01C0">
        <w:rPr>
          <w:rFonts w:ascii="Times New Roman" w:hAnsi="Times New Roman" w:cs="Times New Roman"/>
          <w:sz w:val="24"/>
          <w:szCs w:val="24"/>
        </w:rPr>
        <w:t xml:space="preserve"> o izvršavan</w:t>
      </w:r>
      <w:r w:rsidR="00671FED" w:rsidRPr="00AC01C0">
        <w:rPr>
          <w:rFonts w:ascii="Times New Roman" w:hAnsi="Times New Roman" w:cs="Times New Roman"/>
          <w:sz w:val="24"/>
          <w:szCs w:val="24"/>
        </w:rPr>
        <w:t xml:space="preserve">ju Proračuna Grada </w:t>
      </w:r>
      <w:r w:rsidRPr="00AC01C0">
        <w:rPr>
          <w:rFonts w:ascii="Times New Roman" w:hAnsi="Times New Roman" w:cs="Times New Roman"/>
          <w:sz w:val="24"/>
          <w:szCs w:val="24"/>
        </w:rPr>
        <w:t>Poreča-</w:t>
      </w:r>
      <w:proofErr w:type="spellStart"/>
      <w:r w:rsidRPr="00AC01C0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AC01C0">
        <w:rPr>
          <w:rFonts w:ascii="Times New Roman" w:hAnsi="Times New Roman" w:cs="Times New Roman"/>
          <w:sz w:val="24"/>
          <w:szCs w:val="24"/>
        </w:rPr>
        <w:t xml:space="preserve"> za 20</w:t>
      </w:r>
      <w:r w:rsidR="001E34E0" w:rsidRPr="00AC01C0">
        <w:rPr>
          <w:rFonts w:ascii="Times New Roman" w:hAnsi="Times New Roman" w:cs="Times New Roman"/>
          <w:sz w:val="24"/>
          <w:szCs w:val="24"/>
        </w:rPr>
        <w:t>2</w:t>
      </w:r>
      <w:r w:rsidR="0033389D">
        <w:rPr>
          <w:rFonts w:ascii="Times New Roman" w:hAnsi="Times New Roman" w:cs="Times New Roman"/>
          <w:sz w:val="24"/>
          <w:szCs w:val="24"/>
        </w:rPr>
        <w:t>5</w:t>
      </w:r>
      <w:r w:rsidR="001076EF" w:rsidRPr="00AC01C0">
        <w:rPr>
          <w:rFonts w:ascii="Times New Roman" w:hAnsi="Times New Roman" w:cs="Times New Roman"/>
          <w:sz w:val="24"/>
          <w:szCs w:val="24"/>
        </w:rPr>
        <w:t xml:space="preserve">. </w:t>
      </w:r>
      <w:r w:rsidR="00BD4466" w:rsidRPr="00AC01C0">
        <w:rPr>
          <w:rFonts w:ascii="Times New Roman" w:hAnsi="Times New Roman" w:cs="Times New Roman"/>
          <w:sz w:val="24"/>
          <w:szCs w:val="24"/>
        </w:rPr>
        <w:t>g</w:t>
      </w:r>
      <w:r w:rsidR="001076EF" w:rsidRPr="00AC01C0">
        <w:rPr>
          <w:rFonts w:ascii="Times New Roman" w:hAnsi="Times New Roman" w:cs="Times New Roman"/>
          <w:sz w:val="24"/>
          <w:szCs w:val="24"/>
        </w:rPr>
        <w:t>odin</w:t>
      </w:r>
      <w:r w:rsidRPr="00AC01C0">
        <w:rPr>
          <w:rFonts w:ascii="Times New Roman" w:hAnsi="Times New Roman" w:cs="Times New Roman"/>
          <w:sz w:val="24"/>
          <w:szCs w:val="24"/>
        </w:rPr>
        <w:t>u</w:t>
      </w:r>
      <w:r w:rsidR="00BD4466" w:rsidRPr="00AC01C0">
        <w:rPr>
          <w:rFonts w:ascii="Times New Roman" w:hAnsi="Times New Roman" w:cs="Times New Roman"/>
          <w:sz w:val="24"/>
          <w:szCs w:val="24"/>
        </w:rPr>
        <w:t>,</w:t>
      </w:r>
      <w:r w:rsidR="001076EF" w:rsidRPr="00AC01C0">
        <w:rPr>
          <w:rFonts w:ascii="Times New Roman" w:hAnsi="Times New Roman" w:cs="Times New Roman"/>
          <w:sz w:val="24"/>
          <w:szCs w:val="24"/>
        </w:rPr>
        <w:t xml:space="preserve"> usvojen</w:t>
      </w:r>
      <w:r w:rsidRPr="00AC01C0">
        <w:rPr>
          <w:rFonts w:ascii="Times New Roman" w:hAnsi="Times New Roman" w:cs="Times New Roman"/>
          <w:sz w:val="24"/>
          <w:szCs w:val="24"/>
        </w:rPr>
        <w:t>ih</w:t>
      </w:r>
      <w:r w:rsidR="001076EF" w:rsidRPr="00AC01C0">
        <w:rPr>
          <w:rFonts w:ascii="Times New Roman" w:hAnsi="Times New Roman" w:cs="Times New Roman"/>
          <w:sz w:val="24"/>
          <w:szCs w:val="24"/>
        </w:rPr>
        <w:t xml:space="preserve"> na sjednici Gradskog vijeća održanoj </w:t>
      </w:r>
      <w:r w:rsidR="00466D80">
        <w:rPr>
          <w:rFonts w:ascii="Times New Roman" w:hAnsi="Times New Roman" w:cs="Times New Roman"/>
          <w:sz w:val="24"/>
          <w:szCs w:val="24"/>
        </w:rPr>
        <w:t>1</w:t>
      </w:r>
      <w:r w:rsidR="0033389D">
        <w:rPr>
          <w:rFonts w:ascii="Times New Roman" w:hAnsi="Times New Roman" w:cs="Times New Roman"/>
          <w:sz w:val="24"/>
          <w:szCs w:val="24"/>
        </w:rPr>
        <w:t>2</w:t>
      </w:r>
      <w:r w:rsidR="00466D80">
        <w:rPr>
          <w:rFonts w:ascii="Times New Roman" w:hAnsi="Times New Roman" w:cs="Times New Roman"/>
          <w:sz w:val="24"/>
          <w:szCs w:val="24"/>
        </w:rPr>
        <w:t>.12.202</w:t>
      </w:r>
      <w:r w:rsidR="0033389D">
        <w:rPr>
          <w:rFonts w:ascii="Times New Roman" w:hAnsi="Times New Roman" w:cs="Times New Roman"/>
          <w:sz w:val="24"/>
          <w:szCs w:val="24"/>
        </w:rPr>
        <w:t>4</w:t>
      </w:r>
      <w:r w:rsidR="00466D80">
        <w:rPr>
          <w:rFonts w:ascii="Times New Roman" w:hAnsi="Times New Roman" w:cs="Times New Roman"/>
          <w:sz w:val="24"/>
          <w:szCs w:val="24"/>
        </w:rPr>
        <w:t>.</w:t>
      </w:r>
      <w:r w:rsidR="007D3964" w:rsidRPr="00373509">
        <w:rPr>
          <w:rFonts w:ascii="Times New Roman" w:hAnsi="Times New Roman" w:cs="Times New Roman"/>
          <w:sz w:val="24"/>
          <w:szCs w:val="24"/>
        </w:rPr>
        <w:t xml:space="preserve"> </w:t>
      </w:r>
      <w:r w:rsidR="001076EF" w:rsidRPr="00373509">
        <w:rPr>
          <w:rFonts w:ascii="Times New Roman" w:hAnsi="Times New Roman" w:cs="Times New Roman"/>
          <w:sz w:val="24"/>
          <w:szCs w:val="24"/>
        </w:rPr>
        <w:t>godine (</w:t>
      </w:r>
      <w:r w:rsidR="008A2E01" w:rsidRPr="00373509">
        <w:rPr>
          <w:rFonts w:ascii="Times New Roman" w:hAnsi="Times New Roman" w:cs="Times New Roman"/>
          <w:sz w:val="24"/>
          <w:szCs w:val="24"/>
        </w:rPr>
        <w:t>„</w:t>
      </w:r>
      <w:r w:rsidR="001076EF" w:rsidRPr="00373509">
        <w:rPr>
          <w:rFonts w:ascii="Times New Roman" w:hAnsi="Times New Roman" w:cs="Times New Roman"/>
          <w:sz w:val="24"/>
          <w:szCs w:val="24"/>
        </w:rPr>
        <w:t>S</w:t>
      </w:r>
      <w:r w:rsidR="007D3964" w:rsidRPr="00373509">
        <w:rPr>
          <w:rFonts w:ascii="Times New Roman" w:hAnsi="Times New Roman" w:cs="Times New Roman"/>
          <w:sz w:val="24"/>
          <w:szCs w:val="24"/>
        </w:rPr>
        <w:t xml:space="preserve">lužbeni glasnik </w:t>
      </w:r>
      <w:r w:rsidR="00C60F67" w:rsidRPr="00373509">
        <w:rPr>
          <w:rFonts w:ascii="Times New Roman" w:hAnsi="Times New Roman" w:cs="Times New Roman"/>
          <w:sz w:val="24"/>
          <w:szCs w:val="24"/>
        </w:rPr>
        <w:t>Grada Poreča</w:t>
      </w:r>
      <w:r w:rsidR="00CE2DBA" w:rsidRPr="003735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E2DBA" w:rsidRPr="00373509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8A2E01" w:rsidRPr="00373509">
        <w:rPr>
          <w:rFonts w:ascii="Times New Roman" w:hAnsi="Times New Roman" w:cs="Times New Roman"/>
          <w:sz w:val="24"/>
          <w:szCs w:val="24"/>
        </w:rPr>
        <w:t>“</w:t>
      </w:r>
      <w:r w:rsidR="00C60F67" w:rsidRPr="00373509">
        <w:rPr>
          <w:rFonts w:ascii="Times New Roman" w:hAnsi="Times New Roman" w:cs="Times New Roman"/>
          <w:sz w:val="24"/>
          <w:szCs w:val="24"/>
        </w:rPr>
        <w:t xml:space="preserve"> </w:t>
      </w:r>
      <w:r w:rsidR="007D3964" w:rsidRPr="00373509">
        <w:rPr>
          <w:rFonts w:ascii="Times New Roman" w:hAnsi="Times New Roman" w:cs="Times New Roman"/>
          <w:sz w:val="24"/>
          <w:szCs w:val="24"/>
        </w:rPr>
        <w:t>br.</w:t>
      </w:r>
      <w:r w:rsidR="001076EF" w:rsidRPr="00373509">
        <w:rPr>
          <w:rFonts w:ascii="Times New Roman" w:hAnsi="Times New Roman" w:cs="Times New Roman"/>
          <w:sz w:val="24"/>
          <w:szCs w:val="24"/>
        </w:rPr>
        <w:t xml:space="preserve"> </w:t>
      </w:r>
      <w:r w:rsidR="0033389D">
        <w:rPr>
          <w:rFonts w:ascii="Times New Roman" w:hAnsi="Times New Roman" w:cs="Times New Roman"/>
          <w:sz w:val="24"/>
          <w:szCs w:val="24"/>
        </w:rPr>
        <w:t>22</w:t>
      </w:r>
      <w:r w:rsidR="001076EF" w:rsidRPr="00373509">
        <w:rPr>
          <w:rFonts w:ascii="Times New Roman" w:hAnsi="Times New Roman" w:cs="Times New Roman"/>
          <w:sz w:val="24"/>
          <w:szCs w:val="24"/>
        </w:rPr>
        <w:t>/20</w:t>
      </w:r>
      <w:r w:rsidR="00373509" w:rsidRPr="00373509">
        <w:rPr>
          <w:rFonts w:ascii="Times New Roman" w:hAnsi="Times New Roman" w:cs="Times New Roman"/>
          <w:sz w:val="24"/>
          <w:szCs w:val="24"/>
        </w:rPr>
        <w:t>2</w:t>
      </w:r>
      <w:r w:rsidR="0033389D">
        <w:rPr>
          <w:rFonts w:ascii="Times New Roman" w:hAnsi="Times New Roman" w:cs="Times New Roman"/>
          <w:sz w:val="24"/>
          <w:szCs w:val="24"/>
        </w:rPr>
        <w:t>4</w:t>
      </w:r>
      <w:r w:rsidR="001076EF" w:rsidRPr="00373509">
        <w:rPr>
          <w:rFonts w:ascii="Times New Roman" w:hAnsi="Times New Roman" w:cs="Times New Roman"/>
          <w:sz w:val="24"/>
          <w:szCs w:val="24"/>
        </w:rPr>
        <w:t>)</w:t>
      </w:r>
      <w:r w:rsidR="0033389D">
        <w:rPr>
          <w:rFonts w:ascii="Times New Roman" w:hAnsi="Times New Roman" w:cs="Times New Roman"/>
          <w:sz w:val="24"/>
          <w:szCs w:val="24"/>
        </w:rPr>
        <w:t>.</w:t>
      </w:r>
      <w:r w:rsidR="00061B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81F16" w14:textId="3C5DA314" w:rsidR="00C82466" w:rsidRPr="00367127" w:rsidRDefault="007D3964" w:rsidP="006976AF">
      <w:pPr>
        <w:jc w:val="both"/>
        <w:rPr>
          <w:rFonts w:ascii="Times New Roman" w:hAnsi="Times New Roman" w:cs="Times New Roman"/>
          <w:sz w:val="24"/>
          <w:szCs w:val="24"/>
        </w:rPr>
      </w:pPr>
      <w:r w:rsidRPr="00373509">
        <w:rPr>
          <w:rFonts w:ascii="Times New Roman" w:hAnsi="Times New Roman" w:cs="Times New Roman"/>
          <w:sz w:val="24"/>
          <w:szCs w:val="24"/>
        </w:rPr>
        <w:t>Grad Poreč-</w:t>
      </w:r>
      <w:proofErr w:type="spellStart"/>
      <w:r w:rsidRPr="00373509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373509">
        <w:rPr>
          <w:rFonts w:ascii="Times New Roman" w:hAnsi="Times New Roman" w:cs="Times New Roman"/>
          <w:sz w:val="24"/>
          <w:szCs w:val="24"/>
        </w:rPr>
        <w:t xml:space="preserve"> </w:t>
      </w:r>
      <w:r w:rsidR="00B30C63" w:rsidRPr="00373509">
        <w:rPr>
          <w:rFonts w:ascii="Times New Roman" w:hAnsi="Times New Roman" w:cs="Times New Roman"/>
          <w:sz w:val="24"/>
          <w:szCs w:val="24"/>
        </w:rPr>
        <w:t>posluje put</w:t>
      </w:r>
      <w:r w:rsidR="00D155E6" w:rsidRPr="00373509">
        <w:rPr>
          <w:rFonts w:ascii="Times New Roman" w:hAnsi="Times New Roman" w:cs="Times New Roman"/>
          <w:sz w:val="24"/>
          <w:szCs w:val="24"/>
        </w:rPr>
        <w:t>em jedinstvenog računa riznice, odnosno jedinstvenog bankovnog računa. Time su objedinjena plaćanja, primanja, čuvanja i prijenos svih prihoda i p</w:t>
      </w:r>
      <w:r w:rsidR="00C60F67" w:rsidRPr="00373509">
        <w:rPr>
          <w:rFonts w:ascii="Times New Roman" w:hAnsi="Times New Roman" w:cs="Times New Roman"/>
          <w:sz w:val="24"/>
          <w:szCs w:val="24"/>
        </w:rPr>
        <w:t xml:space="preserve">rimitaka te rashoda i izdataka </w:t>
      </w:r>
      <w:r w:rsidR="00D155E6" w:rsidRPr="00373509">
        <w:rPr>
          <w:rFonts w:ascii="Times New Roman" w:hAnsi="Times New Roman" w:cs="Times New Roman"/>
          <w:sz w:val="24"/>
          <w:szCs w:val="24"/>
        </w:rPr>
        <w:t xml:space="preserve">gradskog proračuna i proračunskih korisnika tako da  je izvještaj </w:t>
      </w:r>
      <w:r w:rsidR="00D155E6" w:rsidRPr="00373509">
        <w:rPr>
          <w:rFonts w:ascii="Times New Roman" w:hAnsi="Times New Roman" w:cs="Times New Roman"/>
          <w:sz w:val="24"/>
          <w:szCs w:val="24"/>
        </w:rPr>
        <w:lastRenderedPageBreak/>
        <w:t xml:space="preserve">ujedno i konsolidirani. </w:t>
      </w:r>
      <w:r w:rsidR="00D155E6" w:rsidRPr="00367127">
        <w:rPr>
          <w:rFonts w:ascii="Times New Roman" w:hAnsi="Times New Roman" w:cs="Times New Roman"/>
          <w:sz w:val="24"/>
          <w:szCs w:val="24"/>
        </w:rPr>
        <w:t xml:space="preserve">Konsolidirani su </w:t>
      </w:r>
      <w:r w:rsidR="00880788" w:rsidRPr="00367127">
        <w:rPr>
          <w:rFonts w:ascii="Times New Roman" w:hAnsi="Times New Roman" w:cs="Times New Roman"/>
          <w:sz w:val="24"/>
          <w:szCs w:val="24"/>
        </w:rPr>
        <w:t>sljedeći pror</w:t>
      </w:r>
      <w:r w:rsidR="00C60F67" w:rsidRPr="00367127">
        <w:rPr>
          <w:rFonts w:ascii="Times New Roman" w:hAnsi="Times New Roman" w:cs="Times New Roman"/>
          <w:sz w:val="24"/>
          <w:szCs w:val="24"/>
        </w:rPr>
        <w:t xml:space="preserve">ačunski korisnici evidentirani </w:t>
      </w:r>
      <w:r w:rsidR="00880788" w:rsidRPr="00367127">
        <w:rPr>
          <w:rFonts w:ascii="Times New Roman" w:hAnsi="Times New Roman" w:cs="Times New Roman"/>
          <w:sz w:val="24"/>
          <w:szCs w:val="24"/>
        </w:rPr>
        <w:t>u Registru korisnika proračuna RH.</w:t>
      </w:r>
    </w:p>
    <w:p w14:paraId="399A3857" w14:textId="77777777" w:rsidR="00371A1B" w:rsidRPr="00367127" w:rsidRDefault="00371A1B" w:rsidP="00A32EC2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7127">
        <w:rPr>
          <w:rFonts w:ascii="Times New Roman" w:hAnsi="Times New Roman" w:cs="Times New Roman"/>
          <w:sz w:val="24"/>
          <w:szCs w:val="24"/>
        </w:rPr>
        <w:t>Temeljem decentralizacije:</w:t>
      </w:r>
    </w:p>
    <w:tbl>
      <w:tblPr>
        <w:tblW w:w="79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2"/>
        <w:gridCol w:w="864"/>
        <w:gridCol w:w="1505"/>
      </w:tblGrid>
      <w:tr w:rsidR="00367127" w:rsidRPr="00367127" w14:paraId="25413D25" w14:textId="77777777" w:rsidTr="00E41EB2">
        <w:trPr>
          <w:gridAfter w:val="1"/>
          <w:wAfter w:w="1505" w:type="dxa"/>
          <w:trHeight w:val="281"/>
        </w:trPr>
        <w:tc>
          <w:tcPr>
            <w:tcW w:w="6466" w:type="dxa"/>
            <w:gridSpan w:val="2"/>
            <w:noWrap/>
            <w:vAlign w:val="bottom"/>
            <w:hideMark/>
          </w:tcPr>
          <w:p w14:paraId="6C7024D0" w14:textId="77777777" w:rsidR="00371A1B" w:rsidRPr="00367127" w:rsidRDefault="0063285C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Javna vatrogasna postrojba</w:t>
            </w:r>
            <w:r w:rsidR="00371A1B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C77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Centar za zaštitu od požara 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Poreč</w:t>
            </w:r>
          </w:p>
        </w:tc>
      </w:tr>
      <w:tr w:rsidR="00367127" w:rsidRPr="00367127" w14:paraId="5561A355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52D37867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Osnovna škola 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Poreč</w:t>
            </w:r>
          </w:p>
          <w:p w14:paraId="15BED798" w14:textId="77777777" w:rsidR="0063285C" w:rsidRPr="00367127" w:rsidRDefault="0063285C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Osnovna škola </w:t>
            </w:r>
            <w:proofErr w:type="spellStart"/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Finida</w:t>
            </w:r>
            <w:proofErr w:type="spellEnd"/>
            <w:r w:rsidR="001839F6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127" w:rsidRPr="00367127" w14:paraId="7AD4C7BB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1DC3C7CD" w14:textId="77777777" w:rsidR="00371A1B" w:rsidRPr="00367127" w:rsidRDefault="005A6D09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Talijanska o</w:t>
            </w:r>
            <w:r w:rsidR="00371A1B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snovna škola </w:t>
            </w:r>
            <w:r w:rsidR="0063285C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Bernardo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Parentin</w:t>
            </w:r>
            <w:proofErr w:type="spellEnd"/>
          </w:p>
        </w:tc>
      </w:tr>
      <w:tr w:rsidR="00367127" w:rsidRPr="00367127" w14:paraId="46C2B685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4FFF3CFB" w14:textId="77777777" w:rsidR="00371A1B" w:rsidRPr="00367127" w:rsidRDefault="00053F79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Umjetnička škola Poreč</w:t>
            </w:r>
          </w:p>
          <w:p w14:paraId="0DD34054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79381" w14:textId="77777777" w:rsidR="00371A1B" w:rsidRPr="00367127" w:rsidRDefault="00371A1B" w:rsidP="00A32EC2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hAnsi="Times New Roman" w:cs="Times New Roman"/>
                <w:sz w:val="24"/>
                <w:szCs w:val="24"/>
              </w:rPr>
              <w:t>Ustanove u vlasništvu grada:</w:t>
            </w:r>
          </w:p>
        </w:tc>
      </w:tr>
      <w:tr w:rsidR="00367127" w:rsidRPr="00367127" w14:paraId="6EEA072E" w14:textId="77777777" w:rsidTr="00E41EB2">
        <w:trPr>
          <w:gridAfter w:val="2"/>
          <w:wAfter w:w="2369" w:type="dxa"/>
          <w:trHeight w:val="281"/>
        </w:trPr>
        <w:tc>
          <w:tcPr>
            <w:tcW w:w="5602" w:type="dxa"/>
            <w:noWrap/>
            <w:vAlign w:val="bottom"/>
            <w:hideMark/>
          </w:tcPr>
          <w:p w14:paraId="36E0F37E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Dječji vrtić 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Radost</w:t>
            </w:r>
          </w:p>
        </w:tc>
      </w:tr>
      <w:tr w:rsidR="00367127" w:rsidRPr="00367127" w14:paraId="7A68BE8C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23226AD2" w14:textId="77777777" w:rsidR="00371A1B" w:rsidRPr="00367127" w:rsidRDefault="0063285C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371A1B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ječji vrtić 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Paperino</w:t>
            </w:r>
          </w:p>
        </w:tc>
      </w:tr>
      <w:tr w:rsidR="00367127" w:rsidRPr="00367127" w14:paraId="3127576D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1F62ECE9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Pučko otvoreno učilište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Poreč</w:t>
            </w:r>
          </w:p>
        </w:tc>
      </w:tr>
      <w:tr w:rsidR="00367127" w:rsidRPr="00367127" w14:paraId="517D4E26" w14:textId="77777777" w:rsidTr="00E41EB2">
        <w:trPr>
          <w:gridAfter w:val="2"/>
          <w:wAfter w:w="2369" w:type="dxa"/>
          <w:trHeight w:val="281"/>
        </w:trPr>
        <w:tc>
          <w:tcPr>
            <w:tcW w:w="5602" w:type="dxa"/>
            <w:noWrap/>
            <w:vAlign w:val="bottom"/>
            <w:hideMark/>
          </w:tcPr>
          <w:p w14:paraId="4D51AD97" w14:textId="77777777" w:rsidR="00371A1B" w:rsidRPr="00367127" w:rsidRDefault="007D3964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Zavičajni muzej </w:t>
            </w:r>
            <w:proofErr w:type="spellStart"/>
            <w:r w:rsidR="00401AAA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Poreštine</w:t>
            </w:r>
            <w:proofErr w:type="spellEnd"/>
          </w:p>
        </w:tc>
      </w:tr>
      <w:tr w:rsidR="00367127" w:rsidRPr="00367127" w14:paraId="348B4933" w14:textId="77777777" w:rsidTr="00E41EB2">
        <w:trPr>
          <w:gridAfter w:val="2"/>
          <w:wAfter w:w="2369" w:type="dxa"/>
          <w:trHeight w:val="281"/>
        </w:trPr>
        <w:tc>
          <w:tcPr>
            <w:tcW w:w="5602" w:type="dxa"/>
            <w:noWrap/>
            <w:vAlign w:val="bottom"/>
            <w:hideMark/>
          </w:tcPr>
          <w:p w14:paraId="4F2BEEE8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Gradska knjižnica</w:t>
            </w:r>
            <w:r w:rsidR="0063285C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Poreč</w:t>
            </w:r>
          </w:p>
          <w:p w14:paraId="637911B9" w14:textId="77777777" w:rsidR="00566C77" w:rsidRPr="00367127" w:rsidRDefault="00566C77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Centar za pružanje usluga u zajednici Zdravi Grad Poreč-</w:t>
            </w:r>
            <w:proofErr w:type="spellStart"/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Parenzo</w:t>
            </w:r>
            <w:proofErr w:type="spellEnd"/>
          </w:p>
          <w:p w14:paraId="36A9BF13" w14:textId="77777777" w:rsidR="00371A1B" w:rsidRPr="00367127" w:rsidRDefault="00371A1B" w:rsidP="00A32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3FFB7" w14:textId="77777777" w:rsidR="00367127" w:rsidRDefault="00367127" w:rsidP="00A32EC2">
            <w:pPr>
              <w:spacing w:after="0" w:line="240" w:lineRule="auto"/>
              <w:ind w:firstLine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671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Vijeća nacionalnih manjina</w:t>
            </w:r>
            <w:r w:rsidRPr="003671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45D1B7" w14:textId="77777777" w:rsidR="00367127" w:rsidRPr="00367127" w:rsidRDefault="00367127" w:rsidP="00A32EC2">
            <w:pPr>
              <w:spacing w:after="0" w:line="240" w:lineRule="auto"/>
              <w:ind w:firstLine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127" w:rsidRPr="00367127" w14:paraId="08850A34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5E83FCC5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Vijeće</w:t>
            </w:r>
            <w:r w:rsidR="00401AAA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Talijanske nacionalne manjine </w:t>
            </w:r>
          </w:p>
        </w:tc>
      </w:tr>
      <w:tr w:rsidR="00367127" w:rsidRPr="00367127" w14:paraId="5DA12A97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72E5314C" w14:textId="77777777" w:rsidR="00371A1B" w:rsidRPr="00367127" w:rsidRDefault="00401AAA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Vijeće Albanske  </w:t>
            </w:r>
            <w:r w:rsidR="00371A1B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nacionalne manjine</w:t>
            </w:r>
          </w:p>
        </w:tc>
      </w:tr>
      <w:tr w:rsidR="00367127" w:rsidRPr="00367127" w14:paraId="14C91B44" w14:textId="77777777" w:rsidTr="00E41EB2">
        <w:trPr>
          <w:gridAfter w:val="2"/>
          <w:wAfter w:w="2369" w:type="dxa"/>
          <w:trHeight w:val="75"/>
        </w:trPr>
        <w:tc>
          <w:tcPr>
            <w:tcW w:w="5602" w:type="dxa"/>
            <w:noWrap/>
            <w:vAlign w:val="bottom"/>
            <w:hideMark/>
          </w:tcPr>
          <w:p w14:paraId="0AEBD7F9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Vijeće Srpske nacionalne manjine</w:t>
            </w:r>
          </w:p>
        </w:tc>
      </w:tr>
      <w:tr w:rsidR="00367127" w:rsidRPr="00367127" w14:paraId="476B04E2" w14:textId="77777777" w:rsidTr="00E41EB2">
        <w:trPr>
          <w:gridAfter w:val="2"/>
          <w:wAfter w:w="2369" w:type="dxa"/>
          <w:trHeight w:val="75"/>
        </w:trPr>
        <w:tc>
          <w:tcPr>
            <w:tcW w:w="5602" w:type="dxa"/>
            <w:noWrap/>
            <w:vAlign w:val="bottom"/>
          </w:tcPr>
          <w:p w14:paraId="0227AED6" w14:textId="77777777" w:rsidR="000134B3" w:rsidRPr="00367127" w:rsidRDefault="000134B3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Vijeće Bošnjačke nacionalne manjine</w:t>
            </w:r>
          </w:p>
        </w:tc>
      </w:tr>
    </w:tbl>
    <w:p w14:paraId="6FA73455" w14:textId="77777777" w:rsidR="003A79DF" w:rsidRDefault="003A79DF" w:rsidP="003A79DF">
      <w:pPr>
        <w:pStyle w:val="Odlomakpopisa"/>
        <w:ind w:left="1211"/>
        <w:rPr>
          <w:rFonts w:ascii="Times New Roman" w:hAnsi="Times New Roman" w:cs="Times New Roman"/>
          <w:b/>
          <w:sz w:val="28"/>
          <w:szCs w:val="28"/>
        </w:rPr>
      </w:pPr>
    </w:p>
    <w:p w14:paraId="7C8F96BD" w14:textId="77777777" w:rsidR="00C9235D" w:rsidRPr="00167BBA" w:rsidRDefault="00C9235D" w:rsidP="008807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7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D9C" w:rsidRPr="00167BBA">
        <w:rPr>
          <w:rFonts w:ascii="Times New Roman" w:hAnsi="Times New Roman" w:cs="Times New Roman"/>
          <w:b/>
          <w:sz w:val="28"/>
          <w:szCs w:val="28"/>
        </w:rPr>
        <w:t xml:space="preserve">IZVRŠENJE PRORAČUNA </w:t>
      </w:r>
    </w:p>
    <w:p w14:paraId="2B96C639" w14:textId="173169D8" w:rsidR="00C9235D" w:rsidRPr="00271FA8" w:rsidRDefault="00115319" w:rsidP="002A385A">
      <w:pPr>
        <w:rPr>
          <w:rFonts w:ascii="Times New Roman" w:hAnsi="Times New Roman" w:cs="Times New Roman"/>
          <w:sz w:val="24"/>
          <w:szCs w:val="24"/>
        </w:rPr>
      </w:pPr>
      <w:r w:rsidRPr="00167BBA">
        <w:rPr>
          <w:rFonts w:ascii="Times New Roman" w:hAnsi="Times New Roman" w:cs="Times New Roman"/>
          <w:sz w:val="24"/>
          <w:szCs w:val="24"/>
        </w:rPr>
        <w:t>P</w:t>
      </w:r>
      <w:r w:rsidR="00401AAA" w:rsidRPr="00167BBA">
        <w:rPr>
          <w:rFonts w:ascii="Times New Roman" w:hAnsi="Times New Roman" w:cs="Times New Roman"/>
          <w:sz w:val="24"/>
          <w:szCs w:val="24"/>
        </w:rPr>
        <w:t>roračun Grada Poreča-</w:t>
      </w:r>
      <w:proofErr w:type="spellStart"/>
      <w:r w:rsidR="00401AAA" w:rsidRPr="00167BBA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C9235D" w:rsidRPr="00167BBA">
        <w:rPr>
          <w:rFonts w:ascii="Times New Roman" w:hAnsi="Times New Roman" w:cs="Times New Roman"/>
          <w:sz w:val="24"/>
          <w:szCs w:val="24"/>
        </w:rPr>
        <w:t xml:space="preserve"> za razdoblje od 01. s</w:t>
      </w:r>
      <w:r w:rsidRPr="00167BBA">
        <w:rPr>
          <w:rFonts w:ascii="Times New Roman" w:hAnsi="Times New Roman" w:cs="Times New Roman"/>
          <w:sz w:val="24"/>
          <w:szCs w:val="24"/>
        </w:rPr>
        <w:t>i</w:t>
      </w:r>
      <w:r w:rsidR="00C9235D" w:rsidRPr="00167BBA">
        <w:rPr>
          <w:rFonts w:ascii="Times New Roman" w:hAnsi="Times New Roman" w:cs="Times New Roman"/>
          <w:sz w:val="24"/>
          <w:szCs w:val="24"/>
        </w:rPr>
        <w:t>je</w:t>
      </w:r>
      <w:r w:rsidRPr="00167BBA">
        <w:rPr>
          <w:rFonts w:ascii="Times New Roman" w:hAnsi="Times New Roman" w:cs="Times New Roman"/>
          <w:sz w:val="24"/>
          <w:szCs w:val="24"/>
        </w:rPr>
        <w:t>č</w:t>
      </w:r>
      <w:r w:rsidR="00C9235D" w:rsidRPr="00167BBA">
        <w:rPr>
          <w:rFonts w:ascii="Times New Roman" w:hAnsi="Times New Roman" w:cs="Times New Roman"/>
          <w:sz w:val="24"/>
          <w:szCs w:val="24"/>
        </w:rPr>
        <w:t>nja do 3</w:t>
      </w:r>
      <w:r w:rsidR="00401AAA" w:rsidRPr="00167BBA">
        <w:rPr>
          <w:rFonts w:ascii="Times New Roman" w:hAnsi="Times New Roman" w:cs="Times New Roman"/>
          <w:sz w:val="24"/>
          <w:szCs w:val="24"/>
        </w:rPr>
        <w:t>0</w:t>
      </w:r>
      <w:r w:rsidR="00C9235D" w:rsidRPr="00167BBA">
        <w:rPr>
          <w:rFonts w:ascii="Times New Roman" w:hAnsi="Times New Roman" w:cs="Times New Roman"/>
          <w:sz w:val="24"/>
          <w:szCs w:val="24"/>
        </w:rPr>
        <w:t xml:space="preserve">. </w:t>
      </w:r>
      <w:r w:rsidR="00401AAA" w:rsidRPr="00167BBA">
        <w:rPr>
          <w:rFonts w:ascii="Times New Roman" w:hAnsi="Times New Roman" w:cs="Times New Roman"/>
          <w:sz w:val="24"/>
          <w:szCs w:val="24"/>
        </w:rPr>
        <w:t>lipnja</w:t>
      </w:r>
      <w:r w:rsidR="00C9235D" w:rsidRPr="00167BBA">
        <w:rPr>
          <w:rFonts w:ascii="Times New Roman" w:hAnsi="Times New Roman" w:cs="Times New Roman"/>
          <w:sz w:val="24"/>
          <w:szCs w:val="24"/>
        </w:rPr>
        <w:t xml:space="preserve"> 20</w:t>
      </w:r>
      <w:r w:rsidR="00A957E5" w:rsidRPr="00167BBA">
        <w:rPr>
          <w:rFonts w:ascii="Times New Roman" w:hAnsi="Times New Roman" w:cs="Times New Roman"/>
          <w:sz w:val="24"/>
          <w:szCs w:val="24"/>
        </w:rPr>
        <w:t>2</w:t>
      </w:r>
      <w:r w:rsidR="0033389D">
        <w:rPr>
          <w:rFonts w:ascii="Times New Roman" w:hAnsi="Times New Roman" w:cs="Times New Roman"/>
          <w:sz w:val="24"/>
          <w:szCs w:val="24"/>
        </w:rPr>
        <w:t>5</w:t>
      </w:r>
      <w:r w:rsidR="00C9235D" w:rsidRPr="00167BBA">
        <w:rPr>
          <w:rFonts w:ascii="Times New Roman" w:hAnsi="Times New Roman" w:cs="Times New Roman"/>
          <w:sz w:val="24"/>
          <w:szCs w:val="24"/>
        </w:rPr>
        <w:t xml:space="preserve">. </w:t>
      </w:r>
      <w:r w:rsidRPr="00167BBA">
        <w:rPr>
          <w:rFonts w:ascii="Times New Roman" w:hAnsi="Times New Roman" w:cs="Times New Roman"/>
          <w:sz w:val="24"/>
          <w:szCs w:val="24"/>
        </w:rPr>
        <w:t>g</w:t>
      </w:r>
      <w:r w:rsidR="00C9235D" w:rsidRPr="00167BBA">
        <w:rPr>
          <w:rFonts w:ascii="Times New Roman" w:hAnsi="Times New Roman" w:cs="Times New Roman"/>
          <w:sz w:val="24"/>
          <w:szCs w:val="24"/>
        </w:rPr>
        <w:t xml:space="preserve">odine ostvaren je </w:t>
      </w:r>
      <w:r w:rsidR="00C9235D" w:rsidRPr="00271FA8">
        <w:rPr>
          <w:rFonts w:ascii="Times New Roman" w:hAnsi="Times New Roman" w:cs="Times New Roman"/>
          <w:sz w:val="24"/>
          <w:szCs w:val="24"/>
        </w:rPr>
        <w:t>kako slijedi:</w:t>
      </w:r>
    </w:p>
    <w:p w14:paraId="523F5265" w14:textId="01FE3414" w:rsidR="00622EF6" w:rsidRPr="00271FA8" w:rsidRDefault="00AD0276" w:rsidP="00C074C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71FA8">
        <w:rPr>
          <w:rFonts w:ascii="Times New Roman" w:hAnsi="Times New Roman" w:cs="Times New Roman"/>
          <w:b/>
          <w:sz w:val="24"/>
          <w:szCs w:val="24"/>
        </w:rPr>
        <w:t xml:space="preserve">Tablica 1. </w:t>
      </w:r>
      <w:r w:rsidR="00C074C8" w:rsidRPr="00271FA8">
        <w:rPr>
          <w:rFonts w:ascii="Times New Roman" w:hAnsi="Times New Roman" w:cs="Times New Roman"/>
          <w:b/>
          <w:sz w:val="24"/>
          <w:szCs w:val="24"/>
        </w:rPr>
        <w:t>RAČUN PRIHODA I RASHODA</w:t>
      </w:r>
    </w:p>
    <w:tbl>
      <w:tblPr>
        <w:tblStyle w:val="Svijetlatablicareetke1-isticanje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843"/>
        <w:gridCol w:w="1701"/>
        <w:gridCol w:w="850"/>
        <w:gridCol w:w="851"/>
      </w:tblGrid>
      <w:tr w:rsidR="00271FA8" w:rsidRPr="00271FA8" w14:paraId="4FFA0174" w14:textId="77777777" w:rsidTr="00FB1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248D6CA" w14:textId="77777777" w:rsidR="00622EF6" w:rsidRPr="00271FA8" w:rsidRDefault="00622EF6" w:rsidP="00D2698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4E504" w14:textId="4D128FFB" w:rsidR="00622EF6" w:rsidRPr="00271FA8" w:rsidRDefault="00622EF6" w:rsidP="0006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1FA8">
              <w:rPr>
                <w:rFonts w:ascii="Times New Roman" w:hAnsi="Times New Roman" w:cs="Times New Roman"/>
                <w:sz w:val="20"/>
                <w:szCs w:val="20"/>
              </w:rPr>
              <w:t>OSTVARENJE I-VI 20</w:t>
            </w:r>
            <w:r w:rsidR="003A79DF" w:rsidRPr="00271F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1FA8" w:rsidRPr="00271F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71F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CB297ED" w14:textId="21CFB539" w:rsidR="00622EF6" w:rsidRPr="00271FA8" w:rsidRDefault="00271FA8" w:rsidP="0006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1FA8">
              <w:rPr>
                <w:rFonts w:ascii="Times New Roman" w:hAnsi="Times New Roman" w:cs="Times New Roman"/>
                <w:sz w:val="20"/>
                <w:szCs w:val="20"/>
              </w:rPr>
              <w:t xml:space="preserve">IZVORNI PLAN </w:t>
            </w:r>
            <w:r w:rsidR="00622EF6" w:rsidRPr="00271F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39D1" w:rsidRPr="00271F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71F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22EF6" w:rsidRPr="00271F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A7B5841" w14:textId="0898C10B" w:rsidR="00622EF6" w:rsidRPr="00271FA8" w:rsidRDefault="00622EF6" w:rsidP="0006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1FA8">
              <w:rPr>
                <w:rFonts w:ascii="Times New Roman" w:hAnsi="Times New Roman" w:cs="Times New Roman"/>
                <w:sz w:val="20"/>
                <w:szCs w:val="20"/>
              </w:rPr>
              <w:t>OSTVARENJE I-VI 20</w:t>
            </w:r>
            <w:r w:rsidR="000E39D1" w:rsidRPr="00271F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1FA8" w:rsidRPr="00271F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1F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8F5AAE1" w14:textId="77777777" w:rsidR="00622EF6" w:rsidRPr="00271FA8" w:rsidRDefault="00622EF6" w:rsidP="00D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71FA8">
              <w:rPr>
                <w:rFonts w:ascii="Times New Roman" w:hAnsi="Times New Roman" w:cs="Times New Roman"/>
                <w:sz w:val="16"/>
                <w:szCs w:val="16"/>
              </w:rPr>
              <w:t>INDEKS</w:t>
            </w:r>
          </w:p>
          <w:p w14:paraId="23A9377B" w14:textId="77777777" w:rsidR="00622EF6" w:rsidRPr="00271FA8" w:rsidRDefault="00622EF6" w:rsidP="00D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71FA8">
              <w:rPr>
                <w:rFonts w:ascii="Times New Roman" w:hAnsi="Times New Roman" w:cs="Times New Roman"/>
                <w:sz w:val="16"/>
                <w:szCs w:val="16"/>
              </w:rPr>
              <w:t>3/1</w:t>
            </w:r>
          </w:p>
        </w:tc>
        <w:tc>
          <w:tcPr>
            <w:tcW w:w="851" w:type="dxa"/>
          </w:tcPr>
          <w:p w14:paraId="2DC236F0" w14:textId="77777777" w:rsidR="00622EF6" w:rsidRPr="00271FA8" w:rsidRDefault="00622EF6" w:rsidP="00D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71FA8">
              <w:rPr>
                <w:rFonts w:ascii="Times New Roman" w:hAnsi="Times New Roman" w:cs="Times New Roman"/>
                <w:sz w:val="16"/>
                <w:szCs w:val="16"/>
              </w:rPr>
              <w:t>INDEKS</w:t>
            </w:r>
          </w:p>
          <w:p w14:paraId="0EC25315" w14:textId="77777777" w:rsidR="00622EF6" w:rsidRPr="00271FA8" w:rsidRDefault="00622EF6" w:rsidP="00D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71FA8">
              <w:rPr>
                <w:rFonts w:ascii="Times New Roman" w:hAnsi="Times New Roman" w:cs="Times New Roman"/>
                <w:sz w:val="16"/>
                <w:szCs w:val="16"/>
              </w:rPr>
              <w:t>3/2</w:t>
            </w:r>
          </w:p>
        </w:tc>
      </w:tr>
      <w:tr w:rsidR="00271FA8" w:rsidRPr="00271FA8" w14:paraId="3714AD3D" w14:textId="77777777" w:rsidTr="00FB1BB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5169B27" w14:textId="77777777" w:rsidR="00D6098A" w:rsidRPr="00271FA8" w:rsidRDefault="00D6098A" w:rsidP="00D609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4B031C" w14:textId="77777777" w:rsidR="00D6098A" w:rsidRPr="00271FA8" w:rsidRDefault="00D6098A" w:rsidP="00D60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1F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4BC2F7C7" w14:textId="77777777" w:rsidR="00D6098A" w:rsidRPr="00271FA8" w:rsidRDefault="00D6098A" w:rsidP="00D60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1F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1A86663" w14:textId="77777777" w:rsidR="00D6098A" w:rsidRPr="00271FA8" w:rsidRDefault="00D6098A" w:rsidP="00D60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1F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046C9652" w14:textId="77777777" w:rsidR="00D6098A" w:rsidRPr="00271FA8" w:rsidRDefault="00D6098A" w:rsidP="00D60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1F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54CF7DA9" w14:textId="77777777" w:rsidR="00D6098A" w:rsidRPr="00271FA8" w:rsidRDefault="00D6098A" w:rsidP="00D60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1F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71FA8" w:rsidRPr="00046FD5" w14:paraId="76C963B8" w14:textId="77777777" w:rsidTr="00271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F46C5C4" w14:textId="77777777" w:rsidR="00271FA8" w:rsidRPr="00046FD5" w:rsidRDefault="00271FA8" w:rsidP="00271FA8">
            <w:pPr>
              <w:rPr>
                <w:rFonts w:ascii="Times New Roman" w:hAnsi="Times New Roman" w:cs="Times New Roman"/>
              </w:rPr>
            </w:pPr>
            <w:bookmarkStart w:id="0" w:name="_Hlk205893653"/>
            <w:r w:rsidRPr="00046FD5">
              <w:rPr>
                <w:rFonts w:ascii="Times New Roman" w:hAnsi="Times New Roman" w:cs="Times New Roman"/>
              </w:rPr>
              <w:t>Prihodi poslovanja</w:t>
            </w:r>
          </w:p>
        </w:tc>
        <w:tc>
          <w:tcPr>
            <w:tcW w:w="1701" w:type="dxa"/>
            <w:vAlign w:val="center"/>
          </w:tcPr>
          <w:p w14:paraId="491DCA6B" w14:textId="7987BB78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18.842.039,76</w:t>
            </w:r>
          </w:p>
        </w:tc>
        <w:tc>
          <w:tcPr>
            <w:tcW w:w="1843" w:type="dxa"/>
            <w:vAlign w:val="center"/>
          </w:tcPr>
          <w:p w14:paraId="16EB3906" w14:textId="1F7EADFF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45.075.020</w:t>
            </w:r>
          </w:p>
        </w:tc>
        <w:tc>
          <w:tcPr>
            <w:tcW w:w="1701" w:type="dxa"/>
            <w:vAlign w:val="center"/>
          </w:tcPr>
          <w:p w14:paraId="58F75FF6" w14:textId="6C588ECE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19.220.233</w:t>
            </w:r>
          </w:p>
        </w:tc>
        <w:tc>
          <w:tcPr>
            <w:tcW w:w="850" w:type="dxa"/>
            <w:vAlign w:val="center"/>
          </w:tcPr>
          <w:p w14:paraId="252956D5" w14:textId="30285B45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vAlign w:val="center"/>
          </w:tcPr>
          <w:p w14:paraId="3DF4E386" w14:textId="5FC3652E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71FA8" w:rsidRPr="00046FD5" w14:paraId="559DDBF9" w14:textId="77777777" w:rsidTr="00271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7037418" w14:textId="78B96B8B" w:rsidR="00271FA8" w:rsidRPr="00046FD5" w:rsidRDefault="00271FA8" w:rsidP="00271FA8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 xml:space="preserve">Prihodi od prodaje </w:t>
            </w:r>
            <w:proofErr w:type="spellStart"/>
            <w:r w:rsidRPr="00046FD5">
              <w:rPr>
                <w:rFonts w:ascii="Times New Roman" w:hAnsi="Times New Roman" w:cs="Times New Roman"/>
              </w:rPr>
              <w:t>nef</w:t>
            </w:r>
            <w:proofErr w:type="spellEnd"/>
            <w:r w:rsidRPr="00046FD5">
              <w:rPr>
                <w:rFonts w:ascii="Times New Roman" w:hAnsi="Times New Roman" w:cs="Times New Roman"/>
              </w:rPr>
              <w:t>. imovine</w:t>
            </w:r>
          </w:p>
        </w:tc>
        <w:tc>
          <w:tcPr>
            <w:tcW w:w="1701" w:type="dxa"/>
            <w:vAlign w:val="center"/>
          </w:tcPr>
          <w:p w14:paraId="4A898613" w14:textId="30F10CA8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1.725.324,48</w:t>
            </w:r>
          </w:p>
        </w:tc>
        <w:tc>
          <w:tcPr>
            <w:tcW w:w="1843" w:type="dxa"/>
            <w:vAlign w:val="center"/>
          </w:tcPr>
          <w:p w14:paraId="18E95A13" w14:textId="78408F3F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2.010.000</w:t>
            </w:r>
          </w:p>
        </w:tc>
        <w:tc>
          <w:tcPr>
            <w:tcW w:w="1701" w:type="dxa"/>
            <w:vAlign w:val="center"/>
          </w:tcPr>
          <w:p w14:paraId="4B315634" w14:textId="5BE70147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291.844</w:t>
            </w:r>
          </w:p>
        </w:tc>
        <w:tc>
          <w:tcPr>
            <w:tcW w:w="850" w:type="dxa"/>
            <w:vAlign w:val="center"/>
          </w:tcPr>
          <w:p w14:paraId="3EC4F7C9" w14:textId="646EF278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vAlign w:val="center"/>
          </w:tcPr>
          <w:p w14:paraId="2562AD44" w14:textId="5AC0567A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71FA8" w:rsidRPr="00046FD5" w14:paraId="046C8394" w14:textId="77777777" w:rsidTr="00271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40CCA3B" w14:textId="77777777" w:rsidR="00271FA8" w:rsidRPr="00046FD5" w:rsidRDefault="00271FA8" w:rsidP="00271FA8">
            <w:pPr>
              <w:rPr>
                <w:rFonts w:ascii="Times New Roman" w:hAnsi="Times New Roman" w:cs="Times New Roman"/>
                <w:b w:val="0"/>
              </w:rPr>
            </w:pPr>
            <w:r w:rsidRPr="00046FD5">
              <w:rPr>
                <w:rFonts w:ascii="Times New Roman" w:hAnsi="Times New Roman" w:cs="Times New Roman"/>
              </w:rPr>
              <w:t>UKUPNI PRIHODI</w:t>
            </w:r>
          </w:p>
        </w:tc>
        <w:tc>
          <w:tcPr>
            <w:tcW w:w="1701" w:type="dxa"/>
            <w:vAlign w:val="center"/>
          </w:tcPr>
          <w:p w14:paraId="19B70D0E" w14:textId="70889EA5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20.567.364,24</w:t>
            </w:r>
          </w:p>
        </w:tc>
        <w:tc>
          <w:tcPr>
            <w:tcW w:w="1843" w:type="dxa"/>
            <w:vAlign w:val="center"/>
          </w:tcPr>
          <w:p w14:paraId="1E7CA0D7" w14:textId="149A9F80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47.085.020</w:t>
            </w:r>
          </w:p>
        </w:tc>
        <w:tc>
          <w:tcPr>
            <w:tcW w:w="1701" w:type="dxa"/>
            <w:vAlign w:val="center"/>
          </w:tcPr>
          <w:p w14:paraId="2E3307E9" w14:textId="469D0F65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19.512.078</w:t>
            </w:r>
          </w:p>
        </w:tc>
        <w:tc>
          <w:tcPr>
            <w:tcW w:w="850" w:type="dxa"/>
            <w:vAlign w:val="center"/>
          </w:tcPr>
          <w:p w14:paraId="76C34B22" w14:textId="0F12D441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EB76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3D266138" w14:textId="2EE3FBF3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271FA8" w:rsidRPr="00046FD5" w14:paraId="263570BA" w14:textId="77777777" w:rsidTr="00271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2007D43" w14:textId="77777777" w:rsidR="00271FA8" w:rsidRPr="00046FD5" w:rsidRDefault="00271FA8" w:rsidP="00271FA8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>Rashodi poslovanja</w:t>
            </w:r>
          </w:p>
        </w:tc>
        <w:tc>
          <w:tcPr>
            <w:tcW w:w="1701" w:type="dxa"/>
            <w:vAlign w:val="center"/>
          </w:tcPr>
          <w:p w14:paraId="77D24B87" w14:textId="2698934D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13.937.886,17</w:t>
            </w:r>
          </w:p>
        </w:tc>
        <w:tc>
          <w:tcPr>
            <w:tcW w:w="1843" w:type="dxa"/>
            <w:vAlign w:val="center"/>
          </w:tcPr>
          <w:p w14:paraId="59A8723A" w14:textId="4FB76DFE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41.859.424</w:t>
            </w:r>
          </w:p>
        </w:tc>
        <w:tc>
          <w:tcPr>
            <w:tcW w:w="1701" w:type="dxa"/>
            <w:vAlign w:val="center"/>
          </w:tcPr>
          <w:p w14:paraId="2E330266" w14:textId="1A531A8F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18.398.796</w:t>
            </w:r>
          </w:p>
        </w:tc>
        <w:tc>
          <w:tcPr>
            <w:tcW w:w="850" w:type="dxa"/>
            <w:vAlign w:val="center"/>
          </w:tcPr>
          <w:p w14:paraId="75EFC909" w14:textId="17A23D11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1" w:type="dxa"/>
            <w:vAlign w:val="center"/>
          </w:tcPr>
          <w:p w14:paraId="0B005123" w14:textId="0D68C9D7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71FA8" w:rsidRPr="00046FD5" w14:paraId="0928E2AD" w14:textId="77777777" w:rsidTr="00271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B324E35" w14:textId="246F3BD8" w:rsidR="00271FA8" w:rsidRPr="00046FD5" w:rsidRDefault="00271FA8" w:rsidP="00271FA8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 xml:space="preserve">Rashodi za nabavu </w:t>
            </w:r>
            <w:proofErr w:type="spellStart"/>
            <w:r w:rsidRPr="00046FD5">
              <w:rPr>
                <w:rFonts w:ascii="Times New Roman" w:hAnsi="Times New Roman" w:cs="Times New Roman"/>
              </w:rPr>
              <w:t>nef</w:t>
            </w:r>
            <w:proofErr w:type="spellEnd"/>
            <w:r w:rsidRPr="00046FD5">
              <w:rPr>
                <w:rFonts w:ascii="Times New Roman" w:hAnsi="Times New Roman" w:cs="Times New Roman"/>
              </w:rPr>
              <w:t>. imovine</w:t>
            </w:r>
          </w:p>
        </w:tc>
        <w:tc>
          <w:tcPr>
            <w:tcW w:w="1701" w:type="dxa"/>
            <w:vAlign w:val="center"/>
          </w:tcPr>
          <w:p w14:paraId="03EF41C4" w14:textId="31097F5D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4.096.194,55</w:t>
            </w:r>
          </w:p>
        </w:tc>
        <w:tc>
          <w:tcPr>
            <w:tcW w:w="1843" w:type="dxa"/>
            <w:vAlign w:val="center"/>
          </w:tcPr>
          <w:p w14:paraId="0CBAAF15" w14:textId="456EE667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27.844.176</w:t>
            </w:r>
          </w:p>
        </w:tc>
        <w:tc>
          <w:tcPr>
            <w:tcW w:w="1701" w:type="dxa"/>
            <w:vAlign w:val="center"/>
          </w:tcPr>
          <w:p w14:paraId="70DB78EA" w14:textId="6ECB1BD1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7.537.040</w:t>
            </w:r>
          </w:p>
        </w:tc>
        <w:tc>
          <w:tcPr>
            <w:tcW w:w="850" w:type="dxa"/>
            <w:vAlign w:val="center"/>
          </w:tcPr>
          <w:p w14:paraId="2EBAA35E" w14:textId="5A281BC8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851" w:type="dxa"/>
            <w:vAlign w:val="center"/>
          </w:tcPr>
          <w:p w14:paraId="491A1873" w14:textId="5F16E8FA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271FA8" w:rsidRPr="00046FD5" w14:paraId="5DAEAEDE" w14:textId="77777777" w:rsidTr="00271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49AB8AA" w14:textId="14E32701" w:rsidR="00271FA8" w:rsidRPr="00046FD5" w:rsidRDefault="00271FA8" w:rsidP="00271FA8">
            <w:pPr>
              <w:rPr>
                <w:rFonts w:ascii="Times New Roman" w:hAnsi="Times New Roman" w:cs="Times New Roman"/>
                <w:b w:val="0"/>
              </w:rPr>
            </w:pPr>
            <w:r w:rsidRPr="00046FD5">
              <w:rPr>
                <w:rFonts w:ascii="Times New Roman" w:hAnsi="Times New Roman" w:cs="Times New Roman"/>
              </w:rPr>
              <w:t>UKUPNI RASHODI</w:t>
            </w:r>
          </w:p>
        </w:tc>
        <w:tc>
          <w:tcPr>
            <w:tcW w:w="1701" w:type="dxa"/>
            <w:vAlign w:val="center"/>
          </w:tcPr>
          <w:p w14:paraId="1EAB30E2" w14:textId="327A6176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18.034.080,72</w:t>
            </w:r>
          </w:p>
        </w:tc>
        <w:tc>
          <w:tcPr>
            <w:tcW w:w="1843" w:type="dxa"/>
            <w:vAlign w:val="center"/>
          </w:tcPr>
          <w:p w14:paraId="287F051A" w14:textId="6BD2E05D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69.703.600</w:t>
            </w:r>
          </w:p>
        </w:tc>
        <w:tc>
          <w:tcPr>
            <w:tcW w:w="1701" w:type="dxa"/>
            <w:vAlign w:val="center"/>
          </w:tcPr>
          <w:p w14:paraId="2BF3765C" w14:textId="21284631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25.935.837</w:t>
            </w:r>
          </w:p>
        </w:tc>
        <w:tc>
          <w:tcPr>
            <w:tcW w:w="850" w:type="dxa"/>
            <w:vAlign w:val="center"/>
          </w:tcPr>
          <w:p w14:paraId="36107EF0" w14:textId="0DC68A2D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851" w:type="dxa"/>
            <w:vAlign w:val="center"/>
          </w:tcPr>
          <w:p w14:paraId="31E29D06" w14:textId="31C934AB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271FA8" w:rsidRPr="00B307AD" w14:paraId="26C8844A" w14:textId="77777777" w:rsidTr="00271FA8">
        <w:trPr>
          <w:gridAfter w:val="2"/>
          <w:wAfter w:w="170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17763A0" w14:textId="77777777" w:rsidR="00271FA8" w:rsidRPr="00046FD5" w:rsidRDefault="00271FA8" w:rsidP="00271FA8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046FD5">
              <w:rPr>
                <w:rFonts w:ascii="Times New Roman" w:hAnsi="Times New Roman" w:cs="Times New Roman"/>
              </w:rPr>
              <w:t>RAZLIKA VIŠAK/MANJAK</w:t>
            </w:r>
          </w:p>
        </w:tc>
        <w:tc>
          <w:tcPr>
            <w:tcW w:w="1701" w:type="dxa"/>
            <w:vAlign w:val="center"/>
          </w:tcPr>
          <w:p w14:paraId="2C35B6F6" w14:textId="568D34A9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2.533.283,52</w:t>
            </w:r>
          </w:p>
        </w:tc>
        <w:tc>
          <w:tcPr>
            <w:tcW w:w="1843" w:type="dxa"/>
            <w:vAlign w:val="center"/>
          </w:tcPr>
          <w:p w14:paraId="23B8B9EF" w14:textId="36B3CA38" w:rsidR="00271FA8" w:rsidRPr="00046FD5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-22.618.580</w:t>
            </w:r>
          </w:p>
        </w:tc>
        <w:tc>
          <w:tcPr>
            <w:tcW w:w="1701" w:type="dxa"/>
            <w:vAlign w:val="center"/>
          </w:tcPr>
          <w:p w14:paraId="00C1D301" w14:textId="2B96353F" w:rsidR="00271FA8" w:rsidRPr="00B01790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-6.423.759</w:t>
            </w:r>
          </w:p>
        </w:tc>
      </w:tr>
      <w:bookmarkEnd w:id="0"/>
    </w:tbl>
    <w:p w14:paraId="34378C70" w14:textId="77777777" w:rsidR="00A32EC2" w:rsidRDefault="00A32EC2" w:rsidP="00A32EC2">
      <w:pPr>
        <w:rPr>
          <w:rFonts w:ascii="Times New Roman" w:hAnsi="Times New Roman" w:cs="Times New Roman"/>
          <w:b/>
          <w:sz w:val="24"/>
          <w:szCs w:val="24"/>
        </w:rPr>
      </w:pPr>
    </w:p>
    <w:p w14:paraId="7587C3D4" w14:textId="227B4F6C" w:rsidR="00236D87" w:rsidRPr="00A32EC2" w:rsidRDefault="00A32EC2" w:rsidP="00A32E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AD0276">
        <w:rPr>
          <w:rFonts w:ascii="Times New Roman" w:hAnsi="Times New Roman" w:cs="Times New Roman"/>
          <w:b/>
          <w:sz w:val="24"/>
          <w:szCs w:val="24"/>
        </w:rPr>
        <w:t xml:space="preserve">Tablica 2. </w:t>
      </w:r>
      <w:r w:rsidR="006976AF" w:rsidRPr="00A32EC2">
        <w:rPr>
          <w:rFonts w:ascii="Times New Roman" w:hAnsi="Times New Roman" w:cs="Times New Roman"/>
          <w:b/>
          <w:sz w:val="24"/>
          <w:szCs w:val="24"/>
        </w:rPr>
        <w:t>R</w:t>
      </w:r>
      <w:r w:rsidR="00236D87" w:rsidRPr="00A32EC2">
        <w:rPr>
          <w:rFonts w:ascii="Times New Roman" w:hAnsi="Times New Roman" w:cs="Times New Roman"/>
          <w:b/>
          <w:sz w:val="24"/>
          <w:szCs w:val="24"/>
        </w:rPr>
        <w:t>ASPOLOŽIVA SREDSTVA IZ PRETHODNIH GODINA</w:t>
      </w:r>
    </w:p>
    <w:tbl>
      <w:tblPr>
        <w:tblStyle w:val="Svijetlatablicareetke1-isticanje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843"/>
        <w:gridCol w:w="1701"/>
      </w:tblGrid>
      <w:tr w:rsidR="00B17401" w:rsidRPr="00B17401" w14:paraId="360A9BA4" w14:textId="77777777" w:rsidTr="00271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4708327" w14:textId="77777777" w:rsidR="007830F3" w:rsidRPr="00B17401" w:rsidRDefault="007830F3" w:rsidP="0028601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645D64" w14:textId="6ACF8A6C" w:rsidR="007830F3" w:rsidRPr="00B17401" w:rsidRDefault="007830F3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OSTVARENJE I-VI 20</w:t>
            </w:r>
            <w:r w:rsidR="00B17401" w:rsidRPr="00B1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1F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45F804B" w14:textId="128CE1C9" w:rsidR="007830F3" w:rsidRPr="00B17401" w:rsidRDefault="00271FA8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1FA8">
              <w:rPr>
                <w:rFonts w:ascii="Times New Roman" w:hAnsi="Times New Roman" w:cs="Times New Roman"/>
                <w:sz w:val="20"/>
                <w:szCs w:val="20"/>
              </w:rPr>
              <w:t>IZVORNI PLAN 2025.</w:t>
            </w:r>
          </w:p>
        </w:tc>
        <w:tc>
          <w:tcPr>
            <w:tcW w:w="1701" w:type="dxa"/>
          </w:tcPr>
          <w:p w14:paraId="0EC9BB94" w14:textId="77777777" w:rsidR="007830F3" w:rsidRPr="00B17401" w:rsidRDefault="007830F3" w:rsidP="00C06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OSTVARENJE</w:t>
            </w:r>
          </w:p>
          <w:p w14:paraId="6C2DD9D4" w14:textId="408D7EC5" w:rsidR="007830F3" w:rsidRPr="00B17401" w:rsidRDefault="007830F3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 xml:space="preserve"> I-VI 20</w:t>
            </w:r>
            <w:r w:rsidR="00D42B49" w:rsidRPr="00B1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1F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2F98" w:rsidRPr="00B307AD" w14:paraId="255960AE" w14:textId="77777777" w:rsidTr="00271FA8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001C5B5" w14:textId="77777777" w:rsidR="00402F98" w:rsidRPr="00B307AD" w:rsidRDefault="00402F98" w:rsidP="00402F98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B17401">
              <w:rPr>
                <w:rFonts w:ascii="Times New Roman" w:hAnsi="Times New Roman" w:cs="Times New Roman"/>
              </w:rPr>
              <w:t>Raspoloživa sredstva iz prethodnih godina</w:t>
            </w:r>
          </w:p>
        </w:tc>
        <w:tc>
          <w:tcPr>
            <w:tcW w:w="1701" w:type="dxa"/>
          </w:tcPr>
          <w:p w14:paraId="6F0A9681" w14:textId="67757FCD" w:rsidR="00402F98" w:rsidRPr="00046FD5" w:rsidRDefault="00271FA8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12.039.585</w:t>
            </w:r>
          </w:p>
        </w:tc>
        <w:tc>
          <w:tcPr>
            <w:tcW w:w="1843" w:type="dxa"/>
          </w:tcPr>
          <w:p w14:paraId="043CC655" w14:textId="32790304" w:rsidR="00402F98" w:rsidRPr="00046FD5" w:rsidRDefault="00271FA8" w:rsidP="00ED29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11.229.880</w:t>
            </w:r>
          </w:p>
        </w:tc>
        <w:tc>
          <w:tcPr>
            <w:tcW w:w="1701" w:type="dxa"/>
          </w:tcPr>
          <w:p w14:paraId="2A915AE9" w14:textId="57CB6CCD" w:rsidR="00402F98" w:rsidRPr="00AF46D5" w:rsidRDefault="001244BC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11.473.687</w:t>
            </w:r>
          </w:p>
        </w:tc>
      </w:tr>
    </w:tbl>
    <w:p w14:paraId="181597D6" w14:textId="77777777" w:rsidR="00675077" w:rsidRDefault="00675077" w:rsidP="00236D87">
      <w:pPr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2E05C20D" w14:textId="7E9AEA25" w:rsidR="00236D87" w:rsidRPr="00B17401" w:rsidRDefault="00AD0276" w:rsidP="00236D8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Tablica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3. </w:t>
      </w:r>
      <w:r w:rsidR="00236D87" w:rsidRPr="00B17401">
        <w:rPr>
          <w:rFonts w:ascii="Times New Roman" w:hAnsi="Times New Roman" w:cs="Times New Roman"/>
          <w:b/>
          <w:sz w:val="24"/>
          <w:szCs w:val="24"/>
          <w:lang w:val="it-IT"/>
        </w:rPr>
        <w:t>RAČUN ZADUŽIVANJA/FINANCIRANJA</w:t>
      </w:r>
    </w:p>
    <w:tbl>
      <w:tblPr>
        <w:tblStyle w:val="Svijetlatablicareetke1-isticanje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559"/>
        <w:gridCol w:w="1701"/>
      </w:tblGrid>
      <w:tr w:rsidR="00B17401" w:rsidRPr="00B17401" w14:paraId="7B963720" w14:textId="77777777" w:rsidTr="00FB1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DF2412B" w14:textId="77777777" w:rsidR="00263421" w:rsidRPr="00B17401" w:rsidRDefault="00263421" w:rsidP="00236D87">
            <w:pPr>
              <w:rPr>
                <w:b w:val="0"/>
                <w:sz w:val="24"/>
              </w:rPr>
            </w:pPr>
          </w:p>
        </w:tc>
        <w:tc>
          <w:tcPr>
            <w:tcW w:w="1985" w:type="dxa"/>
          </w:tcPr>
          <w:p w14:paraId="7F54FBF0" w14:textId="77777777" w:rsidR="00046FD5" w:rsidRDefault="00263421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OSTVARENJE</w:t>
            </w:r>
          </w:p>
          <w:p w14:paraId="41BADD4C" w14:textId="01EB59E6" w:rsidR="00263421" w:rsidRPr="00B17401" w:rsidRDefault="00263421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 xml:space="preserve"> I-VI 20</w:t>
            </w:r>
            <w:r w:rsidR="00B17401" w:rsidRPr="00B1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1F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8C87BCF" w14:textId="6A1D2AFF" w:rsidR="00263421" w:rsidRPr="00B17401" w:rsidRDefault="00271FA8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1FA8">
              <w:rPr>
                <w:rFonts w:ascii="Times New Roman" w:hAnsi="Times New Roman" w:cs="Times New Roman"/>
                <w:sz w:val="20"/>
                <w:szCs w:val="20"/>
              </w:rPr>
              <w:t>IZVORNI PLAN 2025.</w:t>
            </w:r>
          </w:p>
        </w:tc>
        <w:tc>
          <w:tcPr>
            <w:tcW w:w="1701" w:type="dxa"/>
          </w:tcPr>
          <w:p w14:paraId="7E428DCF" w14:textId="77777777" w:rsidR="00263421" w:rsidRPr="00B17401" w:rsidRDefault="00263421" w:rsidP="00C06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 xml:space="preserve">OSTVARENJE </w:t>
            </w:r>
          </w:p>
          <w:p w14:paraId="5A4747B1" w14:textId="542E5145" w:rsidR="00263421" w:rsidRPr="00B17401" w:rsidRDefault="00263421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I-VI 20</w:t>
            </w:r>
            <w:r w:rsidR="00D42B49" w:rsidRPr="00B1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1F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71FA8" w:rsidRPr="00B307AD" w14:paraId="4C0AC6C5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CCDC10F" w14:textId="77777777" w:rsidR="00271FA8" w:rsidRPr="00B17401" w:rsidRDefault="00271FA8" w:rsidP="00271FA8">
            <w:pPr>
              <w:rPr>
                <w:rFonts w:ascii="Times New Roman" w:hAnsi="Times New Roman" w:cs="Times New Roman"/>
              </w:rPr>
            </w:pPr>
            <w:bookmarkStart w:id="1" w:name="_Hlk205894031"/>
            <w:r w:rsidRPr="00B17401">
              <w:rPr>
                <w:rFonts w:ascii="Times New Roman" w:hAnsi="Times New Roman" w:cs="Times New Roman"/>
              </w:rPr>
              <w:t>Primici od financijske imovine i zaduživanja</w:t>
            </w:r>
          </w:p>
        </w:tc>
        <w:tc>
          <w:tcPr>
            <w:tcW w:w="1985" w:type="dxa"/>
          </w:tcPr>
          <w:p w14:paraId="0C742ECD" w14:textId="3219C685" w:rsidR="00271FA8" w:rsidRPr="00E315A1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427.135</w:t>
            </w:r>
          </w:p>
        </w:tc>
        <w:tc>
          <w:tcPr>
            <w:tcW w:w="1559" w:type="dxa"/>
          </w:tcPr>
          <w:p w14:paraId="6034137C" w14:textId="029AF84D" w:rsidR="00271FA8" w:rsidRPr="00E315A1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12.800.000</w:t>
            </w:r>
          </w:p>
        </w:tc>
        <w:tc>
          <w:tcPr>
            <w:tcW w:w="1701" w:type="dxa"/>
          </w:tcPr>
          <w:p w14:paraId="48DC71E9" w14:textId="42A69FD8" w:rsidR="00271FA8" w:rsidRPr="00E315A1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6.940.935</w:t>
            </w:r>
          </w:p>
        </w:tc>
      </w:tr>
      <w:tr w:rsidR="00271FA8" w:rsidRPr="00B307AD" w14:paraId="225F952F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4784636" w14:textId="77777777" w:rsidR="00271FA8" w:rsidRPr="00B17401" w:rsidRDefault="00271FA8" w:rsidP="00271FA8">
            <w:pPr>
              <w:rPr>
                <w:rFonts w:ascii="Times New Roman" w:hAnsi="Times New Roman" w:cs="Times New Roman"/>
              </w:rPr>
            </w:pPr>
            <w:r w:rsidRPr="00B17401">
              <w:rPr>
                <w:rFonts w:ascii="Times New Roman" w:hAnsi="Times New Roman" w:cs="Times New Roman"/>
              </w:rPr>
              <w:t>Izdaci za financijsku imovinu i zaduživanje</w:t>
            </w:r>
          </w:p>
        </w:tc>
        <w:tc>
          <w:tcPr>
            <w:tcW w:w="1985" w:type="dxa"/>
          </w:tcPr>
          <w:p w14:paraId="252A6CDF" w14:textId="21E1B230" w:rsidR="00271FA8" w:rsidRPr="00E315A1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516.145</w:t>
            </w:r>
          </w:p>
        </w:tc>
        <w:tc>
          <w:tcPr>
            <w:tcW w:w="1559" w:type="dxa"/>
          </w:tcPr>
          <w:p w14:paraId="679F6606" w14:textId="577264ED" w:rsidR="00271FA8" w:rsidRPr="00E315A1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1.411.300</w:t>
            </w:r>
          </w:p>
        </w:tc>
        <w:tc>
          <w:tcPr>
            <w:tcW w:w="1701" w:type="dxa"/>
          </w:tcPr>
          <w:p w14:paraId="6919EB2A" w14:textId="7E8E71A3" w:rsidR="00271FA8" w:rsidRPr="00E315A1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558.655</w:t>
            </w:r>
          </w:p>
        </w:tc>
      </w:tr>
      <w:tr w:rsidR="00271FA8" w:rsidRPr="00B307AD" w14:paraId="71DD32D1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7EAE744" w14:textId="77777777" w:rsidR="00271FA8" w:rsidRPr="00B17401" w:rsidRDefault="00271FA8" w:rsidP="00271FA8">
            <w:pPr>
              <w:rPr>
                <w:rFonts w:ascii="Times New Roman" w:hAnsi="Times New Roman" w:cs="Times New Roman"/>
              </w:rPr>
            </w:pPr>
            <w:r w:rsidRPr="00B17401">
              <w:rPr>
                <w:rFonts w:ascii="Times New Roman" w:hAnsi="Times New Roman" w:cs="Times New Roman"/>
              </w:rPr>
              <w:t>Neto zaduživanje/financiranje</w:t>
            </w:r>
          </w:p>
        </w:tc>
        <w:tc>
          <w:tcPr>
            <w:tcW w:w="1985" w:type="dxa"/>
          </w:tcPr>
          <w:p w14:paraId="19B70894" w14:textId="6A7D950E" w:rsidR="00271FA8" w:rsidRPr="00E315A1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-89.009</w:t>
            </w:r>
          </w:p>
        </w:tc>
        <w:tc>
          <w:tcPr>
            <w:tcW w:w="1559" w:type="dxa"/>
          </w:tcPr>
          <w:p w14:paraId="1DD0C652" w14:textId="6C72F532" w:rsidR="00271FA8" w:rsidRPr="00E315A1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11.388.700</w:t>
            </w:r>
          </w:p>
        </w:tc>
        <w:tc>
          <w:tcPr>
            <w:tcW w:w="1701" w:type="dxa"/>
          </w:tcPr>
          <w:p w14:paraId="6D55063D" w14:textId="2356C4B7" w:rsidR="00271FA8" w:rsidRPr="00E315A1" w:rsidRDefault="00271FA8" w:rsidP="0027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6.382.280</w:t>
            </w:r>
          </w:p>
        </w:tc>
      </w:tr>
    </w:tbl>
    <w:bookmarkEnd w:id="1"/>
    <w:p w14:paraId="4DF3620D" w14:textId="2E307AB4" w:rsidR="00FC6489" w:rsidRDefault="00236D87" w:rsidP="00675077">
      <w:pPr>
        <w:pStyle w:val="Naslov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>Ukupni prihodi u prvom polugodištu 20</w:t>
      </w:r>
      <w:r w:rsidR="0012147E"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271FA8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godine ostvareni su u iznosu od </w:t>
      </w:r>
      <w:r w:rsidR="00271FA8">
        <w:rPr>
          <w:rFonts w:ascii="Times New Roman" w:hAnsi="Times New Roman" w:cs="Times New Roman"/>
          <w:b w:val="0"/>
          <w:color w:val="auto"/>
          <w:sz w:val="24"/>
          <w:szCs w:val="24"/>
        </w:rPr>
        <w:t>19.512.078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eura,</w:t>
      </w:r>
      <w:r w:rsidR="00C60F67"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što u usporedbi sa</w:t>
      </w:r>
      <w:r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istim razdobljem 20</w:t>
      </w:r>
      <w:r w:rsidR="00AA3FCD"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271FA8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222613"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godine predstavlja </w:t>
      </w:r>
      <w:r w:rsidR="00271F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smanjenje 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od </w:t>
      </w:r>
      <w:r w:rsidR="00EB76C2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>%</w:t>
      </w:r>
      <w:r w:rsidR="00EB76C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obzirom da su u prvoj polovini prethodne godine ostvareni značajni kapitalni prihodi. 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U odnosu na Plan za 20</w:t>
      </w:r>
      <w:r w:rsidR="00A0524F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EB76C2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godinu, u prvom je polugodištu ostvareno 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EB76C2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% planiranih prihoda</w:t>
      </w:r>
      <w:r w:rsidR="00CD6939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Ukupni rashodi u </w:t>
      </w:r>
      <w:r w:rsidR="00CD6939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iznosu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od </w:t>
      </w:r>
      <w:r w:rsidR="00EB76C2">
        <w:rPr>
          <w:rFonts w:ascii="Times New Roman" w:hAnsi="Times New Roman" w:cs="Times New Roman"/>
          <w:b w:val="0"/>
          <w:color w:val="auto"/>
          <w:sz w:val="24"/>
          <w:szCs w:val="24"/>
        </w:rPr>
        <w:t>25.935.837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eura veći su za </w:t>
      </w:r>
      <w:r w:rsidR="00EB76C2">
        <w:rPr>
          <w:rFonts w:ascii="Times New Roman" w:hAnsi="Times New Roman" w:cs="Times New Roman"/>
          <w:b w:val="0"/>
          <w:color w:val="auto"/>
          <w:sz w:val="24"/>
          <w:szCs w:val="24"/>
        </w:rPr>
        <w:t>44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% od realizacije u prvoj polovini </w:t>
      </w:r>
      <w:r w:rsidR="00EB76C2">
        <w:rPr>
          <w:rFonts w:ascii="Times New Roman" w:hAnsi="Times New Roman" w:cs="Times New Roman"/>
          <w:b w:val="0"/>
          <w:color w:val="auto"/>
          <w:sz w:val="24"/>
          <w:szCs w:val="24"/>
        </w:rPr>
        <w:t>2024.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godine</w:t>
      </w:r>
      <w:r w:rsidR="00DF62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222613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dok </w:t>
      </w:r>
      <w:r w:rsidR="00CD6939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su u odnosu na Plan za 20</w:t>
      </w:r>
      <w:r w:rsidR="00EE772E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EB76C2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6302BD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FC6489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godinu iskazani indeksom </w:t>
      </w:r>
      <w:r w:rsidR="00EB76C2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222613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7B0E614B" w14:textId="77777777" w:rsidR="00D4315A" w:rsidRDefault="00D4315A" w:rsidP="00675077">
      <w:p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2E9B1622" w14:textId="0730ED5B" w:rsidR="00675077" w:rsidRDefault="00D86857" w:rsidP="00675077">
      <w:p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75077">
        <w:rPr>
          <w:rFonts w:ascii="Times New Roman" w:hAnsi="Times New Roman" w:cs="Times New Roman"/>
          <w:bCs/>
          <w:sz w:val="24"/>
        </w:rPr>
        <w:t>Prikaz ostvarenog viška Proračuna</w:t>
      </w:r>
      <w:r w:rsidR="00236D87" w:rsidRPr="00675077">
        <w:rPr>
          <w:rFonts w:ascii="Times New Roman" w:hAnsi="Times New Roman" w:cs="Times New Roman"/>
          <w:bCs/>
          <w:sz w:val="24"/>
        </w:rPr>
        <w:t xml:space="preserve"> Grada Poreča</w:t>
      </w:r>
      <w:r w:rsidR="00D50E58" w:rsidRPr="00675077">
        <w:rPr>
          <w:rFonts w:ascii="Times New Roman" w:hAnsi="Times New Roman" w:cs="Times New Roman"/>
          <w:bCs/>
          <w:sz w:val="24"/>
        </w:rPr>
        <w:t>-</w:t>
      </w:r>
      <w:proofErr w:type="spellStart"/>
      <w:r w:rsidR="00D50E58" w:rsidRPr="00675077">
        <w:rPr>
          <w:rFonts w:ascii="Times New Roman" w:hAnsi="Times New Roman" w:cs="Times New Roman"/>
          <w:bCs/>
          <w:sz w:val="24"/>
        </w:rPr>
        <w:t>Parenzo</w:t>
      </w:r>
      <w:proofErr w:type="spellEnd"/>
      <w:r w:rsidR="00236D87" w:rsidRPr="00675077">
        <w:rPr>
          <w:rFonts w:ascii="Times New Roman" w:hAnsi="Times New Roman" w:cs="Times New Roman"/>
          <w:bCs/>
          <w:sz w:val="24"/>
        </w:rPr>
        <w:t xml:space="preserve"> </w:t>
      </w:r>
      <w:r w:rsidRPr="00675077">
        <w:rPr>
          <w:rFonts w:ascii="Times New Roman" w:hAnsi="Times New Roman" w:cs="Times New Roman"/>
          <w:bCs/>
          <w:sz w:val="24"/>
        </w:rPr>
        <w:t xml:space="preserve">u razdoblju siječanj-lipanj </w:t>
      </w:r>
      <w:r w:rsidR="00236D87" w:rsidRPr="00675077">
        <w:rPr>
          <w:rFonts w:ascii="Times New Roman" w:hAnsi="Times New Roman" w:cs="Times New Roman"/>
          <w:bCs/>
          <w:sz w:val="24"/>
        </w:rPr>
        <w:t xml:space="preserve"> 20</w:t>
      </w:r>
      <w:r w:rsidR="004A4EA7" w:rsidRPr="00675077">
        <w:rPr>
          <w:rFonts w:ascii="Times New Roman" w:hAnsi="Times New Roman" w:cs="Times New Roman"/>
          <w:bCs/>
          <w:sz w:val="24"/>
        </w:rPr>
        <w:t>2</w:t>
      </w:r>
      <w:r w:rsidR="00EB76C2">
        <w:rPr>
          <w:rFonts w:ascii="Times New Roman" w:hAnsi="Times New Roman" w:cs="Times New Roman"/>
          <w:bCs/>
          <w:sz w:val="24"/>
        </w:rPr>
        <w:t>5</w:t>
      </w:r>
      <w:r w:rsidR="00236D87" w:rsidRPr="00675077">
        <w:rPr>
          <w:rFonts w:ascii="Times New Roman" w:hAnsi="Times New Roman" w:cs="Times New Roman"/>
          <w:bCs/>
          <w:sz w:val="24"/>
        </w:rPr>
        <w:t>.</w:t>
      </w:r>
      <w:r w:rsidR="007D28D2" w:rsidRPr="00675077">
        <w:rPr>
          <w:rFonts w:ascii="Times New Roman" w:hAnsi="Times New Roman" w:cs="Times New Roman"/>
          <w:bCs/>
          <w:sz w:val="24"/>
        </w:rPr>
        <w:t xml:space="preserve"> </w:t>
      </w:r>
      <w:r w:rsidR="00236D87" w:rsidRPr="00675077">
        <w:rPr>
          <w:rFonts w:ascii="Times New Roman" w:hAnsi="Times New Roman" w:cs="Times New Roman"/>
          <w:bCs/>
          <w:sz w:val="24"/>
        </w:rPr>
        <w:t>godin</w:t>
      </w:r>
      <w:r w:rsidRPr="00675077">
        <w:rPr>
          <w:rFonts w:ascii="Times New Roman" w:hAnsi="Times New Roman" w:cs="Times New Roman"/>
          <w:bCs/>
          <w:sz w:val="24"/>
        </w:rPr>
        <w:t>e</w:t>
      </w:r>
      <w:r w:rsidR="00675077">
        <w:rPr>
          <w:rFonts w:ascii="Times New Roman" w:hAnsi="Times New Roman" w:cs="Times New Roman"/>
          <w:bCs/>
          <w:sz w:val="24"/>
        </w:rPr>
        <w:t xml:space="preserve"> </w:t>
      </w:r>
      <w:r w:rsidR="00675077" w:rsidRPr="00675077">
        <w:rPr>
          <w:rFonts w:ascii="Times New Roman" w:hAnsi="Times New Roman" w:cs="Times New Roman"/>
          <w:sz w:val="24"/>
          <w:szCs w:val="24"/>
        </w:rPr>
        <w:t>iskazan je u slijedećoj tablici.</w:t>
      </w:r>
    </w:p>
    <w:tbl>
      <w:tblPr>
        <w:tblStyle w:val="Tablicapopisa3-isticanje5"/>
        <w:tblpPr w:leftFromText="180" w:rightFromText="180" w:vertAnchor="text" w:horzAnchor="margin" w:tblpY="488"/>
        <w:tblW w:w="9949" w:type="dxa"/>
        <w:tblLayout w:type="fixed"/>
        <w:tblLook w:val="01E0" w:firstRow="1" w:lastRow="1" w:firstColumn="1" w:lastColumn="1" w:noHBand="0" w:noVBand="0"/>
      </w:tblPr>
      <w:tblGrid>
        <w:gridCol w:w="2505"/>
        <w:gridCol w:w="1718"/>
        <w:gridCol w:w="1878"/>
        <w:gridCol w:w="1954"/>
        <w:gridCol w:w="1894"/>
      </w:tblGrid>
      <w:tr w:rsidR="00675077" w:rsidRPr="007C7079" w14:paraId="3C2BFF62" w14:textId="77777777" w:rsidTr="00675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5" w:type="dxa"/>
          </w:tcPr>
          <w:p w14:paraId="1C3FE9B3" w14:textId="77777777" w:rsidR="00675077" w:rsidRPr="006743DC" w:rsidRDefault="00675077" w:rsidP="00675077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dxa"/>
          </w:tcPr>
          <w:p w14:paraId="5AF52F9F" w14:textId="77777777" w:rsidR="00675077" w:rsidRPr="006743DC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RAČUN PRIHODA I RASHODA</w:t>
            </w:r>
          </w:p>
        </w:tc>
        <w:tc>
          <w:tcPr>
            <w:tcW w:w="1878" w:type="dxa"/>
          </w:tcPr>
          <w:p w14:paraId="0B30DE6D" w14:textId="77777777" w:rsidR="00675077" w:rsidRPr="006743DC" w:rsidRDefault="00675077" w:rsidP="00675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RASPOLOŽIVA SREDSTVA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14:paraId="3FA7AF2F" w14:textId="77777777" w:rsidR="00EE53DC" w:rsidRPr="006743DC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RAČUN FINANCIRANJA/</w:t>
            </w:r>
          </w:p>
          <w:p w14:paraId="6CD1B225" w14:textId="24ED5376" w:rsidR="00675077" w:rsidRPr="006743DC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ZADUŽIVANJA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94" w:type="dxa"/>
          </w:tcPr>
          <w:p w14:paraId="43AC1846" w14:textId="77777777" w:rsidR="00675077" w:rsidRPr="006743DC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UKUPAN PRORAČUN</w:t>
            </w:r>
          </w:p>
        </w:tc>
      </w:tr>
      <w:tr w:rsidR="00675077" w:rsidRPr="00B307AD" w14:paraId="597EC571" w14:textId="77777777" w:rsidTr="00675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7EF13727" w14:textId="77777777" w:rsidR="00675077" w:rsidRPr="006743DC" w:rsidRDefault="00675077" w:rsidP="0067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PRIHODI/PRIMICI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dxa"/>
          </w:tcPr>
          <w:p w14:paraId="06DDCA3C" w14:textId="23847912" w:rsidR="00675077" w:rsidRPr="006743DC" w:rsidRDefault="00EB76C2" w:rsidP="006750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19.512.078</w:t>
            </w:r>
          </w:p>
        </w:tc>
        <w:tc>
          <w:tcPr>
            <w:tcW w:w="1878" w:type="dxa"/>
          </w:tcPr>
          <w:p w14:paraId="05A4050A" w14:textId="457DEAEB" w:rsidR="00675077" w:rsidRPr="006743DC" w:rsidRDefault="00EB76C2" w:rsidP="00675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11.</w:t>
            </w:r>
            <w:r w:rsidR="001244BC" w:rsidRPr="006743DC">
              <w:rPr>
                <w:rFonts w:ascii="Times New Roman" w:hAnsi="Times New Roman" w:cs="Times New Roman"/>
                <w:color w:val="000000" w:themeColor="text1"/>
              </w:rPr>
              <w:t>473.687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14:paraId="00620EAD" w14:textId="76D50201" w:rsidR="00675077" w:rsidRPr="006743DC" w:rsidRDefault="00EB76C2" w:rsidP="006750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6.940.935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4" w:type="dxa"/>
          </w:tcPr>
          <w:p w14:paraId="4CD9C59C" w14:textId="6BE569A5" w:rsidR="00675077" w:rsidRPr="006743DC" w:rsidRDefault="003F37D9" w:rsidP="006750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37.</w:t>
            </w:r>
            <w:r w:rsidR="001244BC" w:rsidRPr="006743DC">
              <w:rPr>
                <w:rFonts w:ascii="Times New Roman" w:hAnsi="Times New Roman" w:cs="Times New Roman"/>
                <w:color w:val="000000" w:themeColor="text1"/>
              </w:rPr>
              <w:t>926.701</w:t>
            </w:r>
          </w:p>
        </w:tc>
      </w:tr>
      <w:tr w:rsidR="00675077" w:rsidRPr="00B307AD" w14:paraId="68BFB990" w14:textId="77777777" w:rsidTr="0067507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6F696B1F" w14:textId="77777777" w:rsidR="00675077" w:rsidRPr="006743DC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RASHODI/IZDACI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dxa"/>
          </w:tcPr>
          <w:p w14:paraId="3A3F73C1" w14:textId="5538694C" w:rsidR="00675077" w:rsidRPr="006743DC" w:rsidRDefault="00EB76C2" w:rsidP="006750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25.9</w:t>
            </w:r>
            <w:r w:rsidR="002C6645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Pr="006743DC">
              <w:rPr>
                <w:rFonts w:ascii="Times New Roman" w:hAnsi="Times New Roman" w:cs="Times New Roman"/>
                <w:color w:val="000000" w:themeColor="text1"/>
              </w:rPr>
              <w:t>.837</w:t>
            </w:r>
          </w:p>
        </w:tc>
        <w:tc>
          <w:tcPr>
            <w:tcW w:w="1878" w:type="dxa"/>
          </w:tcPr>
          <w:p w14:paraId="2F4897BE" w14:textId="77777777" w:rsidR="00675077" w:rsidRPr="006743DC" w:rsidRDefault="00675077" w:rsidP="00675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14:paraId="0EF22BB1" w14:textId="3CF98DD7" w:rsidR="00675077" w:rsidRPr="006743DC" w:rsidRDefault="00EB76C2" w:rsidP="006750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558.655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4" w:type="dxa"/>
          </w:tcPr>
          <w:p w14:paraId="7B82ECB4" w14:textId="6B510386" w:rsidR="00675077" w:rsidRPr="006743DC" w:rsidRDefault="003F37D9" w:rsidP="006750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26.</w:t>
            </w:r>
            <w:r w:rsidR="002C6645">
              <w:rPr>
                <w:rFonts w:ascii="Times New Roman" w:hAnsi="Times New Roman" w:cs="Times New Roman"/>
                <w:color w:val="000000" w:themeColor="text1"/>
              </w:rPr>
              <w:t>494.492</w:t>
            </w:r>
          </w:p>
        </w:tc>
      </w:tr>
      <w:tr w:rsidR="006743DC" w:rsidRPr="006743DC" w14:paraId="1D5B0C47" w14:textId="77777777" w:rsidTr="006750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05" w:type="dxa"/>
          </w:tcPr>
          <w:p w14:paraId="1E3EB30A" w14:textId="77777777" w:rsidR="00675077" w:rsidRPr="006743DC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VIŠAK/MANJAK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dxa"/>
          </w:tcPr>
          <w:p w14:paraId="6667456C" w14:textId="29F6305C" w:rsidR="00675077" w:rsidRPr="006743DC" w:rsidRDefault="003F37D9" w:rsidP="006750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-6.4</w:t>
            </w:r>
            <w:r w:rsidR="002C6645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6743DC">
              <w:rPr>
                <w:rFonts w:ascii="Times New Roman" w:hAnsi="Times New Roman" w:cs="Times New Roman"/>
                <w:color w:val="000000" w:themeColor="text1"/>
              </w:rPr>
              <w:t>.759</w:t>
            </w:r>
          </w:p>
        </w:tc>
        <w:tc>
          <w:tcPr>
            <w:tcW w:w="1878" w:type="dxa"/>
          </w:tcPr>
          <w:p w14:paraId="22DF2251" w14:textId="588FA6F0" w:rsidR="00675077" w:rsidRPr="006743DC" w:rsidRDefault="003F37D9" w:rsidP="0067507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11.</w:t>
            </w:r>
            <w:r w:rsidR="001244BC" w:rsidRPr="006743DC">
              <w:rPr>
                <w:rFonts w:ascii="Times New Roman" w:hAnsi="Times New Roman" w:cs="Times New Roman"/>
                <w:color w:val="000000" w:themeColor="text1"/>
              </w:rPr>
              <w:t>473.687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14:paraId="65344E59" w14:textId="5962CA73" w:rsidR="00675077" w:rsidRPr="006743DC" w:rsidRDefault="00EB76C2" w:rsidP="006750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6.382.280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94" w:type="dxa"/>
          </w:tcPr>
          <w:p w14:paraId="22AE8CC4" w14:textId="26CF4E56" w:rsidR="00675077" w:rsidRPr="006743DC" w:rsidRDefault="003F37D9" w:rsidP="006750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43DC">
              <w:rPr>
                <w:rFonts w:ascii="Times New Roman" w:hAnsi="Times New Roman" w:cs="Times New Roman"/>
                <w:color w:val="000000" w:themeColor="text1"/>
              </w:rPr>
              <w:t>11.</w:t>
            </w:r>
            <w:r w:rsidR="001244BC" w:rsidRPr="006743DC">
              <w:rPr>
                <w:rFonts w:ascii="Times New Roman" w:hAnsi="Times New Roman" w:cs="Times New Roman"/>
                <w:color w:val="000000" w:themeColor="text1"/>
              </w:rPr>
              <w:t>432.209</w:t>
            </w:r>
          </w:p>
        </w:tc>
      </w:tr>
    </w:tbl>
    <w:p w14:paraId="6D3F3BC0" w14:textId="4D9029A9" w:rsidR="00675077" w:rsidRPr="006743DC" w:rsidRDefault="00675077" w:rsidP="0067507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6743DC">
        <w:rPr>
          <w:rFonts w:ascii="Times New Roman" w:hAnsi="Times New Roman" w:cs="Times New Roman"/>
          <w:b/>
          <w:color w:val="000000" w:themeColor="text1"/>
          <w:sz w:val="24"/>
        </w:rPr>
        <w:t>Tablica 4.  REZULTAT POSLOVANJA</w:t>
      </w:r>
    </w:p>
    <w:p w14:paraId="4603B7B3" w14:textId="77777777" w:rsidR="00642B24" w:rsidRPr="006743DC" w:rsidRDefault="00642B24" w:rsidP="006750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8AD2B7" w14:textId="13978917" w:rsidR="00A32EC2" w:rsidRPr="006743DC" w:rsidRDefault="008034D3" w:rsidP="004244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Manjak</w:t>
      </w:r>
      <w:r w:rsidR="00551C88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prihoda </w:t>
      </w:r>
      <w:r w:rsidR="00ED29F0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 rashodima </w:t>
      </w:r>
      <w:r w:rsidR="00551C88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prvom polugodištu tekuće proračunske godine iznosi </w:t>
      </w:r>
      <w:r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6.4</w:t>
      </w:r>
      <w:r w:rsidR="00D4315A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.759</w:t>
      </w:r>
      <w:r w:rsidR="001C1314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551C88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višak</w:t>
      </w:r>
      <w:r w:rsidR="00E033E1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primitaka od financiranja iznosi </w:t>
      </w:r>
      <w:r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6.382.280 eur</w:t>
      </w:r>
      <w:r w:rsidR="00E033E1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dok je </w:t>
      </w:r>
      <w:r w:rsidR="001244BC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E033E1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prethodn</w:t>
      </w:r>
      <w:r w:rsidR="001244BC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oj</w:t>
      </w:r>
      <w:r w:rsidR="00E033E1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</w:t>
      </w:r>
      <w:r w:rsidR="001244BC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i ostvaren</w:t>
      </w:r>
      <w:r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4261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višak</w:t>
      </w:r>
      <w:r w:rsidR="00551C88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prihoda i primitaka </w:t>
      </w:r>
      <w:r w:rsidR="00E033E1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u iznosu</w:t>
      </w:r>
      <w:r w:rsidR="00551C88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1314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244BC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473.687</w:t>
      </w:r>
      <w:r w:rsidR="00F62D85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1314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="00CB71D1">
        <w:rPr>
          <w:rFonts w:ascii="Times New Roman" w:hAnsi="Times New Roman" w:cs="Times New Roman"/>
          <w:color w:val="000000" w:themeColor="text1"/>
          <w:sz w:val="24"/>
          <w:szCs w:val="24"/>
        </w:rPr>
        <w:t>, koji se prenosi u tekuću godinu.</w:t>
      </w:r>
      <w:r w:rsidR="00AC29DD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 </w:t>
      </w:r>
      <w:r w:rsidR="001C1314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dan 30.06.202</w:t>
      </w:r>
      <w:r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C1314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</w:t>
      </w:r>
      <w:r w:rsidR="00A06910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 </w:t>
      </w:r>
      <w:r w:rsidR="00AC29DD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0561A0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višak</w:t>
      </w:r>
      <w:r w:rsidR="00E83C73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C88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prihoda i primitaka u </w:t>
      </w:r>
      <w:r w:rsidR="00CD6939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visini</w:t>
      </w:r>
      <w:r w:rsidR="00551C88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1244BC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>432.209</w:t>
      </w:r>
      <w:r w:rsidR="001C1314" w:rsidRPr="0067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6B959517" w14:textId="1EF86555" w:rsidR="00675077" w:rsidRDefault="00675077" w:rsidP="00424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43DC1" w14:textId="4CD1E0B7" w:rsidR="00EE53DC" w:rsidRDefault="00EE53DC" w:rsidP="00424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6B0E3" w14:textId="57DCB73A" w:rsidR="00EE53DC" w:rsidRDefault="00EE53DC" w:rsidP="00424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DFFD7" w14:textId="1BFCB7CB" w:rsidR="00EE53DC" w:rsidRDefault="00EE53DC" w:rsidP="00424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3B4AC" w14:textId="77777777" w:rsidR="00EE53DC" w:rsidRPr="00675077" w:rsidRDefault="00EE53DC" w:rsidP="00424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6D933" w14:textId="77777777" w:rsidR="001D5F53" w:rsidRPr="00667867" w:rsidRDefault="00037E4C" w:rsidP="001D5F5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867">
        <w:rPr>
          <w:rFonts w:ascii="Times New Roman" w:hAnsi="Times New Roman" w:cs="Times New Roman"/>
          <w:b/>
          <w:sz w:val="28"/>
          <w:szCs w:val="28"/>
        </w:rPr>
        <w:t xml:space="preserve"> PRIHODI</w:t>
      </w:r>
    </w:p>
    <w:p w14:paraId="2B577516" w14:textId="169E26C0" w:rsidR="00D50E58" w:rsidRPr="00B307AD" w:rsidRDefault="009C5F0B" w:rsidP="00675077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1B6A9B">
        <w:rPr>
          <w:rFonts w:ascii="Times New Roman" w:hAnsi="Times New Roman" w:cs="Times New Roman"/>
          <w:sz w:val="24"/>
          <w:szCs w:val="24"/>
        </w:rPr>
        <w:t xml:space="preserve">U strukturi ukupnih prihoda </w:t>
      </w:r>
      <w:r w:rsidR="00233D6B" w:rsidRPr="001B6A9B">
        <w:rPr>
          <w:rFonts w:ascii="Times New Roman" w:hAnsi="Times New Roman" w:cs="Times New Roman"/>
          <w:sz w:val="24"/>
          <w:szCs w:val="24"/>
        </w:rPr>
        <w:t xml:space="preserve">poslovni prihodi sudjeluju s udjelom od </w:t>
      </w:r>
      <w:r w:rsidR="009364F1">
        <w:rPr>
          <w:rFonts w:ascii="Times New Roman" w:hAnsi="Times New Roman" w:cs="Times New Roman"/>
          <w:sz w:val="24"/>
          <w:szCs w:val="24"/>
        </w:rPr>
        <w:t>9</w:t>
      </w:r>
      <w:r w:rsidR="00027FB4">
        <w:rPr>
          <w:rFonts w:ascii="Times New Roman" w:hAnsi="Times New Roman" w:cs="Times New Roman"/>
          <w:sz w:val="24"/>
          <w:szCs w:val="24"/>
        </w:rPr>
        <w:t>8,5</w:t>
      </w:r>
      <w:r w:rsidR="00233D6B" w:rsidRPr="001B6A9B">
        <w:rPr>
          <w:rFonts w:ascii="Times New Roman" w:hAnsi="Times New Roman" w:cs="Times New Roman"/>
          <w:sz w:val="24"/>
          <w:szCs w:val="24"/>
        </w:rPr>
        <w:t xml:space="preserve">%, dok je udio kapitalnih </w:t>
      </w:r>
      <w:r w:rsidR="00D178E1">
        <w:rPr>
          <w:rFonts w:ascii="Times New Roman" w:hAnsi="Times New Roman" w:cs="Times New Roman"/>
          <w:sz w:val="24"/>
          <w:szCs w:val="24"/>
        </w:rPr>
        <w:t xml:space="preserve">prihoda </w:t>
      </w:r>
      <w:r w:rsidR="00233D6B" w:rsidRPr="001B6A9B">
        <w:rPr>
          <w:rFonts w:ascii="Times New Roman" w:hAnsi="Times New Roman" w:cs="Times New Roman"/>
          <w:sz w:val="24"/>
          <w:szCs w:val="24"/>
        </w:rPr>
        <w:t>u ukupnim prihodima</w:t>
      </w:r>
      <w:r w:rsidR="00BA3680" w:rsidRPr="001B6A9B">
        <w:rPr>
          <w:rFonts w:ascii="Times New Roman" w:hAnsi="Times New Roman" w:cs="Times New Roman"/>
          <w:sz w:val="24"/>
          <w:szCs w:val="24"/>
        </w:rPr>
        <w:t xml:space="preserve"> </w:t>
      </w:r>
      <w:r w:rsidR="00027FB4">
        <w:rPr>
          <w:rFonts w:ascii="Times New Roman" w:hAnsi="Times New Roman" w:cs="Times New Roman"/>
          <w:sz w:val="24"/>
          <w:szCs w:val="24"/>
        </w:rPr>
        <w:t>1,5</w:t>
      </w:r>
      <w:r w:rsidR="00233D6B" w:rsidRPr="001B6A9B">
        <w:rPr>
          <w:rFonts w:ascii="Times New Roman" w:hAnsi="Times New Roman" w:cs="Times New Roman"/>
          <w:sz w:val="24"/>
          <w:szCs w:val="24"/>
        </w:rPr>
        <w:t>%.</w:t>
      </w:r>
    </w:p>
    <w:p w14:paraId="553394B3" w14:textId="392FF6B7" w:rsidR="00D50E58" w:rsidRDefault="00D50E58" w:rsidP="00675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867">
        <w:rPr>
          <w:rFonts w:ascii="Times New Roman" w:hAnsi="Times New Roman" w:cs="Times New Roman"/>
          <w:sz w:val="24"/>
          <w:szCs w:val="24"/>
        </w:rPr>
        <w:t xml:space="preserve">U </w:t>
      </w:r>
      <w:r w:rsidR="00C60F67" w:rsidRPr="00667867">
        <w:rPr>
          <w:rFonts w:ascii="Times New Roman" w:hAnsi="Times New Roman" w:cs="Times New Roman"/>
          <w:sz w:val="24"/>
          <w:szCs w:val="24"/>
        </w:rPr>
        <w:t>sl</w:t>
      </w:r>
      <w:r w:rsidR="00037E4C" w:rsidRPr="00667867">
        <w:rPr>
          <w:rFonts w:ascii="Times New Roman" w:hAnsi="Times New Roman" w:cs="Times New Roman"/>
          <w:sz w:val="24"/>
          <w:szCs w:val="24"/>
        </w:rPr>
        <w:t>jedećoj je tablici prikazana realizacija ukupnih prihoda Grada u prvom polugo</w:t>
      </w:r>
      <w:r w:rsidR="00233D6B" w:rsidRPr="00667867">
        <w:rPr>
          <w:rFonts w:ascii="Times New Roman" w:hAnsi="Times New Roman" w:cs="Times New Roman"/>
          <w:sz w:val="24"/>
          <w:szCs w:val="24"/>
        </w:rPr>
        <w:t>dištu te usporedba s realizacijom</w:t>
      </w:r>
      <w:r w:rsidR="00037E4C" w:rsidRPr="00667867">
        <w:rPr>
          <w:rFonts w:ascii="Times New Roman" w:hAnsi="Times New Roman" w:cs="Times New Roman"/>
          <w:sz w:val="24"/>
          <w:szCs w:val="24"/>
        </w:rPr>
        <w:t xml:space="preserve"> u istom izvještajnom razdoblju prethodne godine po pojedinoj v</w:t>
      </w:r>
      <w:r w:rsidRPr="00667867">
        <w:rPr>
          <w:rFonts w:ascii="Times New Roman" w:hAnsi="Times New Roman" w:cs="Times New Roman"/>
          <w:sz w:val="24"/>
          <w:szCs w:val="24"/>
        </w:rPr>
        <w:t>rsti prihoda.</w:t>
      </w:r>
    </w:p>
    <w:p w14:paraId="00189E2E" w14:textId="4B78FA11" w:rsidR="00AD0276" w:rsidRDefault="00AD0276" w:rsidP="00C60F6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B1E3038" w14:textId="5E8A2C06" w:rsidR="00AD0276" w:rsidRPr="00AD0276" w:rsidRDefault="00AD0276" w:rsidP="00C60F6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Tablica 5. RELIZACIJA UKUPNIH PRIHODA</w:t>
      </w:r>
    </w:p>
    <w:p w14:paraId="36DC6A59" w14:textId="77777777" w:rsidR="00D50E58" w:rsidRPr="00667867" w:rsidRDefault="00D50E58" w:rsidP="0049423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popisa2-isticanje5"/>
        <w:tblW w:w="0" w:type="auto"/>
        <w:tblInd w:w="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573"/>
        <w:gridCol w:w="1869"/>
        <w:gridCol w:w="992"/>
      </w:tblGrid>
      <w:tr w:rsidR="00667867" w:rsidRPr="00667867" w14:paraId="0476BDAC" w14:textId="77777777" w:rsidTr="00A32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40E8B192" w14:textId="77777777" w:rsidR="00D50E58" w:rsidRPr="00667867" w:rsidRDefault="00D50E58" w:rsidP="00494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VRSTA PRIHODA</w:t>
            </w:r>
          </w:p>
        </w:tc>
        <w:tc>
          <w:tcPr>
            <w:tcW w:w="1573" w:type="dxa"/>
          </w:tcPr>
          <w:p w14:paraId="39F114B1" w14:textId="07621575" w:rsidR="00D50E58" w:rsidRPr="00667867" w:rsidRDefault="00D50E58" w:rsidP="00936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1-6/</w:t>
            </w:r>
            <w:r w:rsidR="00667867" w:rsidRPr="00667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F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70B39E4B" w14:textId="52C6CE19" w:rsidR="00D50E58" w:rsidRPr="00667867" w:rsidRDefault="00A539F6" w:rsidP="00936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1-6/2</w:t>
            </w:r>
            <w:r w:rsidR="0002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5CC94D7" w14:textId="77777777" w:rsidR="00D50E58" w:rsidRPr="00667867" w:rsidRDefault="00165A13" w:rsidP="00DF6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0E58" w:rsidRPr="00667867">
              <w:rPr>
                <w:rFonts w:ascii="Times New Roman" w:hAnsi="Times New Roman" w:cs="Times New Roman"/>
                <w:sz w:val="24"/>
                <w:szCs w:val="24"/>
              </w:rPr>
              <w:t>ndeks</w:t>
            </w:r>
          </w:p>
        </w:tc>
      </w:tr>
      <w:tr w:rsidR="00027FB4" w:rsidRPr="00B307AD" w14:paraId="7F8D105A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A57207C" w14:textId="77777777" w:rsidR="00027FB4" w:rsidRPr="00667867" w:rsidRDefault="00027FB4" w:rsidP="0002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3412367"/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  <w:tc>
          <w:tcPr>
            <w:tcW w:w="1573" w:type="dxa"/>
          </w:tcPr>
          <w:p w14:paraId="5B862D4E" w14:textId="2C8A0AD7" w:rsidR="00027FB4" w:rsidRPr="00F611D4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8.917.743</w:t>
            </w:r>
          </w:p>
        </w:tc>
        <w:tc>
          <w:tcPr>
            <w:tcW w:w="1869" w:type="dxa"/>
          </w:tcPr>
          <w:p w14:paraId="4584F7A1" w14:textId="6BFFAB61" w:rsidR="00027FB4" w:rsidRPr="00F611D4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9.260.948</w:t>
            </w:r>
          </w:p>
        </w:tc>
        <w:tc>
          <w:tcPr>
            <w:tcW w:w="992" w:type="dxa"/>
          </w:tcPr>
          <w:p w14:paraId="191CC3B7" w14:textId="084F77A5" w:rsidR="00027FB4" w:rsidRPr="007E03D8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027FB4" w:rsidRPr="00B307AD" w14:paraId="6A756B4E" w14:textId="77777777" w:rsidTr="00A32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61B95AD5" w14:textId="77777777" w:rsidR="00027FB4" w:rsidRPr="00667867" w:rsidRDefault="00027FB4" w:rsidP="0002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</w:p>
        </w:tc>
        <w:tc>
          <w:tcPr>
            <w:tcW w:w="1573" w:type="dxa"/>
          </w:tcPr>
          <w:p w14:paraId="1EDE8D40" w14:textId="02DA1C97" w:rsidR="00027FB4" w:rsidRPr="00F611D4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4.725.212</w:t>
            </w:r>
          </w:p>
        </w:tc>
        <w:tc>
          <w:tcPr>
            <w:tcW w:w="1869" w:type="dxa"/>
          </w:tcPr>
          <w:p w14:paraId="5ADD8AFE" w14:textId="43851E19" w:rsidR="00027FB4" w:rsidRPr="00F611D4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5.085.072</w:t>
            </w:r>
          </w:p>
        </w:tc>
        <w:tc>
          <w:tcPr>
            <w:tcW w:w="992" w:type="dxa"/>
          </w:tcPr>
          <w:p w14:paraId="002A1BB4" w14:textId="683020FD" w:rsidR="00027FB4" w:rsidRPr="007E03D8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27FB4" w:rsidRPr="00B307AD" w14:paraId="3AEF0E23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5A281E7" w14:textId="77777777" w:rsidR="00027FB4" w:rsidRPr="00667867" w:rsidRDefault="00027FB4" w:rsidP="0002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Prihodi od imovine</w:t>
            </w:r>
          </w:p>
        </w:tc>
        <w:tc>
          <w:tcPr>
            <w:tcW w:w="1573" w:type="dxa"/>
          </w:tcPr>
          <w:p w14:paraId="365E58BB" w14:textId="5D41CF54" w:rsidR="00027FB4" w:rsidRPr="00F611D4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440.623</w:t>
            </w:r>
          </w:p>
        </w:tc>
        <w:tc>
          <w:tcPr>
            <w:tcW w:w="1869" w:type="dxa"/>
          </w:tcPr>
          <w:p w14:paraId="5C7EC14B" w14:textId="1E41C2B3" w:rsidR="00027FB4" w:rsidRPr="00F611D4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805.698</w:t>
            </w:r>
          </w:p>
        </w:tc>
        <w:tc>
          <w:tcPr>
            <w:tcW w:w="992" w:type="dxa"/>
          </w:tcPr>
          <w:p w14:paraId="05CA3F67" w14:textId="09EBF044" w:rsidR="00027FB4" w:rsidRPr="007E03D8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027FB4" w:rsidRPr="00B307AD" w14:paraId="25D5BF9C" w14:textId="77777777" w:rsidTr="00A32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7FFE25A2" w14:textId="77777777" w:rsidR="00027FB4" w:rsidRPr="00667867" w:rsidRDefault="00027FB4" w:rsidP="0002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Prihodi po posebnim propisima</w:t>
            </w:r>
          </w:p>
        </w:tc>
        <w:tc>
          <w:tcPr>
            <w:tcW w:w="1573" w:type="dxa"/>
          </w:tcPr>
          <w:p w14:paraId="53F6BEA6" w14:textId="7ACC6053" w:rsidR="00027FB4" w:rsidRPr="00F611D4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4.486.747</w:t>
            </w:r>
          </w:p>
        </w:tc>
        <w:tc>
          <w:tcPr>
            <w:tcW w:w="1869" w:type="dxa"/>
          </w:tcPr>
          <w:p w14:paraId="3BFCB774" w14:textId="4DCBE469" w:rsidR="00027FB4" w:rsidRPr="00F611D4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3.452.945</w:t>
            </w:r>
          </w:p>
        </w:tc>
        <w:tc>
          <w:tcPr>
            <w:tcW w:w="992" w:type="dxa"/>
          </w:tcPr>
          <w:p w14:paraId="6916AC1D" w14:textId="6E27B72B" w:rsidR="00027FB4" w:rsidRPr="007E03D8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27FB4" w:rsidRPr="00B307AD" w14:paraId="415D005C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14248CCE" w14:textId="77777777" w:rsidR="00027FB4" w:rsidRPr="00667867" w:rsidRDefault="00027FB4" w:rsidP="0002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Prihodi od prodaje proizvoda i usluga</w:t>
            </w:r>
          </w:p>
        </w:tc>
        <w:tc>
          <w:tcPr>
            <w:tcW w:w="1573" w:type="dxa"/>
          </w:tcPr>
          <w:p w14:paraId="593A791A" w14:textId="282CDAC6" w:rsidR="00027FB4" w:rsidRPr="00F611D4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179.963</w:t>
            </w:r>
          </w:p>
        </w:tc>
        <w:tc>
          <w:tcPr>
            <w:tcW w:w="1869" w:type="dxa"/>
          </w:tcPr>
          <w:p w14:paraId="3344B21D" w14:textId="64734F1E" w:rsidR="00027FB4" w:rsidRPr="00F611D4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537.522</w:t>
            </w:r>
          </w:p>
        </w:tc>
        <w:tc>
          <w:tcPr>
            <w:tcW w:w="992" w:type="dxa"/>
          </w:tcPr>
          <w:p w14:paraId="6D71C9F0" w14:textId="41F7C189" w:rsidR="00027FB4" w:rsidRPr="007E03D8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027FB4" w:rsidRPr="00B307AD" w14:paraId="16EEE7A0" w14:textId="77777777" w:rsidTr="00A32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27E3B326" w14:textId="77777777" w:rsidR="00027FB4" w:rsidRPr="00667867" w:rsidRDefault="00027FB4" w:rsidP="0002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Kazne, upravne mjere i ostali prihodi</w:t>
            </w:r>
          </w:p>
        </w:tc>
        <w:tc>
          <w:tcPr>
            <w:tcW w:w="1573" w:type="dxa"/>
          </w:tcPr>
          <w:p w14:paraId="655C7798" w14:textId="15E304FE" w:rsidR="00027FB4" w:rsidRPr="00F611D4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91.749</w:t>
            </w:r>
          </w:p>
        </w:tc>
        <w:tc>
          <w:tcPr>
            <w:tcW w:w="1869" w:type="dxa"/>
          </w:tcPr>
          <w:p w14:paraId="2764E44D" w14:textId="554AF053" w:rsidR="00027FB4" w:rsidRPr="00F611D4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78.046</w:t>
            </w:r>
          </w:p>
        </w:tc>
        <w:tc>
          <w:tcPr>
            <w:tcW w:w="992" w:type="dxa"/>
          </w:tcPr>
          <w:p w14:paraId="64972EE5" w14:textId="111641BD" w:rsidR="00027FB4" w:rsidRPr="007E03D8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27FB4" w:rsidRPr="00B307AD" w14:paraId="645B292D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6638B632" w14:textId="77777777" w:rsidR="00027FB4" w:rsidRPr="00667867" w:rsidRDefault="00027FB4" w:rsidP="0002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Prihodi od prodaje nefinancijske imovine</w:t>
            </w:r>
          </w:p>
        </w:tc>
        <w:tc>
          <w:tcPr>
            <w:tcW w:w="1573" w:type="dxa"/>
          </w:tcPr>
          <w:p w14:paraId="28B28A89" w14:textId="4DFD4D0C" w:rsidR="00027FB4" w:rsidRPr="00F611D4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1.725.324</w:t>
            </w:r>
          </w:p>
        </w:tc>
        <w:tc>
          <w:tcPr>
            <w:tcW w:w="1869" w:type="dxa"/>
          </w:tcPr>
          <w:p w14:paraId="64797299" w14:textId="5A490402" w:rsidR="00027FB4" w:rsidRPr="00F611D4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291.844</w:t>
            </w:r>
          </w:p>
        </w:tc>
        <w:tc>
          <w:tcPr>
            <w:tcW w:w="992" w:type="dxa"/>
          </w:tcPr>
          <w:p w14:paraId="222E46B4" w14:textId="2D9B52E5" w:rsidR="00027FB4" w:rsidRPr="007E03D8" w:rsidRDefault="00027FB4" w:rsidP="00027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27FB4" w:rsidRPr="00B307AD" w14:paraId="529EC7CF" w14:textId="77777777" w:rsidTr="00A32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18478F9F" w14:textId="77777777" w:rsidR="00027FB4" w:rsidRPr="00667867" w:rsidRDefault="00027FB4" w:rsidP="0002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573" w:type="dxa"/>
          </w:tcPr>
          <w:p w14:paraId="0C5D8C4C" w14:textId="4C71DCF3" w:rsidR="00027FB4" w:rsidRPr="00F611D4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20.567.364</w:t>
            </w:r>
          </w:p>
        </w:tc>
        <w:tc>
          <w:tcPr>
            <w:tcW w:w="1869" w:type="dxa"/>
          </w:tcPr>
          <w:p w14:paraId="7BDC08A9" w14:textId="0E7F01CE" w:rsidR="00027FB4" w:rsidRPr="00F611D4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19.512.078</w:t>
            </w:r>
          </w:p>
        </w:tc>
        <w:tc>
          <w:tcPr>
            <w:tcW w:w="992" w:type="dxa"/>
          </w:tcPr>
          <w:p w14:paraId="43453F6B" w14:textId="55B485BE" w:rsidR="00027FB4" w:rsidRPr="007E03D8" w:rsidRDefault="00027FB4" w:rsidP="00027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bookmarkEnd w:id="2"/>
    </w:tbl>
    <w:p w14:paraId="0CF2BBB7" w14:textId="1F07A006" w:rsidR="00B221F3" w:rsidRPr="00B307AD" w:rsidRDefault="00B221F3" w:rsidP="00494232">
      <w:pPr>
        <w:spacing w:after="0" w:line="240" w:lineRule="auto"/>
        <w:ind w:left="284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7180DD5" w14:textId="77777777" w:rsidR="00E941CF" w:rsidRPr="00B307AD" w:rsidRDefault="00E941CF" w:rsidP="00494232">
      <w:pPr>
        <w:spacing w:after="0" w:line="240" w:lineRule="auto"/>
        <w:ind w:left="284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73CB3B57" w14:textId="5F48D309" w:rsidR="00B221F3" w:rsidRDefault="00267D17" w:rsidP="004234E8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A6C" w:rsidRPr="00ED74E8">
        <w:rPr>
          <w:rFonts w:ascii="Times New Roman" w:hAnsi="Times New Roman" w:cs="Times New Roman"/>
          <w:b/>
          <w:sz w:val="24"/>
          <w:szCs w:val="24"/>
        </w:rPr>
        <w:t xml:space="preserve">PRIHODI OD POREZA </w:t>
      </w:r>
    </w:p>
    <w:p w14:paraId="07D4DEE8" w14:textId="77777777" w:rsidR="009F2546" w:rsidRPr="009F2546" w:rsidRDefault="009F2546" w:rsidP="009F254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56B07942" w14:textId="05AE286A" w:rsidR="00233D6B" w:rsidRPr="00B307AD" w:rsidRDefault="00E16A6C" w:rsidP="00575EA1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ED74E8">
        <w:rPr>
          <w:rFonts w:ascii="Times New Roman" w:hAnsi="Times New Roman" w:cs="Times New Roman"/>
          <w:sz w:val="24"/>
          <w:szCs w:val="24"/>
        </w:rPr>
        <w:t xml:space="preserve">Porezni prihodi </w:t>
      </w:r>
      <w:r w:rsidR="00233D6B" w:rsidRPr="00ED74E8">
        <w:rPr>
          <w:rFonts w:ascii="Times New Roman" w:hAnsi="Times New Roman" w:cs="Times New Roman"/>
          <w:sz w:val="24"/>
          <w:szCs w:val="24"/>
        </w:rPr>
        <w:t>realizirani su u iznosu od</w:t>
      </w:r>
      <w:r w:rsidR="00DA74C4" w:rsidRPr="00ED74E8">
        <w:rPr>
          <w:rFonts w:ascii="Times New Roman" w:hAnsi="Times New Roman" w:cs="Times New Roman"/>
          <w:sz w:val="24"/>
          <w:szCs w:val="24"/>
        </w:rPr>
        <w:t xml:space="preserve"> </w:t>
      </w:r>
      <w:r w:rsidR="00A857E3">
        <w:rPr>
          <w:rFonts w:ascii="Times New Roman" w:hAnsi="Times New Roman" w:cs="Times New Roman"/>
          <w:sz w:val="24"/>
          <w:szCs w:val="24"/>
        </w:rPr>
        <w:t>9.260.948</w:t>
      </w:r>
      <w:r w:rsidR="00675077">
        <w:rPr>
          <w:rFonts w:ascii="Times New Roman" w:hAnsi="Times New Roman" w:cs="Times New Roman"/>
          <w:sz w:val="24"/>
          <w:szCs w:val="24"/>
        </w:rPr>
        <w:t xml:space="preserve"> </w:t>
      </w:r>
      <w:r w:rsidR="00033B7E">
        <w:rPr>
          <w:rFonts w:ascii="Times New Roman" w:hAnsi="Times New Roman" w:cs="Times New Roman"/>
          <w:sz w:val="24"/>
          <w:szCs w:val="24"/>
        </w:rPr>
        <w:t>eura</w:t>
      </w:r>
      <w:r w:rsidR="00233D6B" w:rsidRPr="00EC3EAF">
        <w:rPr>
          <w:rFonts w:ascii="Times New Roman" w:hAnsi="Times New Roman" w:cs="Times New Roman"/>
          <w:sz w:val="24"/>
          <w:szCs w:val="24"/>
        </w:rPr>
        <w:t>. U odnos</w:t>
      </w:r>
      <w:r w:rsidR="00F97EF3" w:rsidRPr="00EC3EAF">
        <w:rPr>
          <w:rFonts w:ascii="Times New Roman" w:hAnsi="Times New Roman" w:cs="Times New Roman"/>
          <w:sz w:val="24"/>
          <w:szCs w:val="24"/>
        </w:rPr>
        <w:t xml:space="preserve">u na Plan realizirani su </w:t>
      </w:r>
      <w:r w:rsidR="00CD6939" w:rsidRPr="00EC3EAF">
        <w:rPr>
          <w:rFonts w:ascii="Times New Roman" w:hAnsi="Times New Roman" w:cs="Times New Roman"/>
          <w:sz w:val="24"/>
          <w:szCs w:val="24"/>
        </w:rPr>
        <w:t>u</w:t>
      </w:r>
      <w:r w:rsidR="000C78AA" w:rsidRPr="00EC3EAF">
        <w:rPr>
          <w:rFonts w:ascii="Times New Roman" w:hAnsi="Times New Roman" w:cs="Times New Roman"/>
          <w:sz w:val="24"/>
          <w:szCs w:val="24"/>
        </w:rPr>
        <w:t xml:space="preserve"> </w:t>
      </w:r>
      <w:r w:rsidR="00EC0364">
        <w:rPr>
          <w:rFonts w:ascii="Times New Roman" w:hAnsi="Times New Roman" w:cs="Times New Roman"/>
          <w:sz w:val="24"/>
          <w:szCs w:val="24"/>
        </w:rPr>
        <w:t>47</w:t>
      </w:r>
      <w:r w:rsidR="00F97EF3" w:rsidRPr="00EC3EAF">
        <w:rPr>
          <w:rFonts w:ascii="Times New Roman" w:hAnsi="Times New Roman" w:cs="Times New Roman"/>
          <w:sz w:val="24"/>
          <w:szCs w:val="24"/>
        </w:rPr>
        <w:t>%</w:t>
      </w:r>
      <w:r w:rsidR="00DA74C4" w:rsidRPr="00EC3EAF">
        <w:rPr>
          <w:rFonts w:ascii="Times New Roman" w:hAnsi="Times New Roman" w:cs="Times New Roman"/>
          <w:sz w:val="24"/>
          <w:szCs w:val="24"/>
        </w:rPr>
        <w:t xml:space="preserve"> </w:t>
      </w:r>
      <w:r w:rsidR="00CD6939" w:rsidRPr="00EC3EA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D6939" w:rsidRPr="00EC3EAF">
        <w:rPr>
          <w:rFonts w:ascii="Times New Roman" w:hAnsi="Times New Roman" w:cs="Times New Roman"/>
          <w:sz w:val="24"/>
          <w:szCs w:val="24"/>
        </w:rPr>
        <w:t>tnom</w:t>
      </w:r>
      <w:proofErr w:type="spellEnd"/>
      <w:r w:rsidR="00CD6939" w:rsidRPr="00EC3EAF">
        <w:rPr>
          <w:rFonts w:ascii="Times New Roman" w:hAnsi="Times New Roman" w:cs="Times New Roman"/>
          <w:sz w:val="24"/>
          <w:szCs w:val="24"/>
        </w:rPr>
        <w:t xml:space="preserve"> iznosu </w:t>
      </w:r>
      <w:r w:rsidR="004F5DB7" w:rsidRPr="00EC3EAF">
        <w:rPr>
          <w:rFonts w:ascii="Times New Roman" w:hAnsi="Times New Roman" w:cs="Times New Roman"/>
          <w:sz w:val="24"/>
          <w:szCs w:val="24"/>
        </w:rPr>
        <w:t>što predstavlja</w:t>
      </w:r>
      <w:r w:rsidR="00CE4421" w:rsidRPr="00EC3EAF">
        <w:rPr>
          <w:rFonts w:ascii="Times New Roman" w:hAnsi="Times New Roman" w:cs="Times New Roman"/>
          <w:sz w:val="24"/>
          <w:szCs w:val="24"/>
        </w:rPr>
        <w:t xml:space="preserve"> </w:t>
      </w:r>
      <w:r w:rsidR="0066412A" w:rsidRPr="00EC3EAF">
        <w:rPr>
          <w:rFonts w:ascii="Times New Roman" w:hAnsi="Times New Roman" w:cs="Times New Roman"/>
          <w:sz w:val="24"/>
          <w:szCs w:val="24"/>
        </w:rPr>
        <w:t xml:space="preserve">za </w:t>
      </w:r>
      <w:r w:rsidR="00EC0364">
        <w:rPr>
          <w:rFonts w:ascii="Times New Roman" w:hAnsi="Times New Roman" w:cs="Times New Roman"/>
          <w:sz w:val="24"/>
          <w:szCs w:val="24"/>
        </w:rPr>
        <w:t>4</w:t>
      </w:r>
      <w:r w:rsidR="0066412A" w:rsidRPr="00EC3EAF">
        <w:rPr>
          <w:rFonts w:ascii="Times New Roman" w:hAnsi="Times New Roman" w:cs="Times New Roman"/>
          <w:sz w:val="24"/>
          <w:szCs w:val="24"/>
        </w:rPr>
        <w:t xml:space="preserve">% </w:t>
      </w:r>
      <w:r w:rsidR="004F5DB7" w:rsidRPr="00EC3EAF">
        <w:rPr>
          <w:rFonts w:ascii="Times New Roman" w:hAnsi="Times New Roman" w:cs="Times New Roman"/>
          <w:sz w:val="24"/>
          <w:szCs w:val="24"/>
        </w:rPr>
        <w:t>u</w:t>
      </w:r>
      <w:r w:rsidR="00EC3EAF" w:rsidRPr="00EC3EAF">
        <w:rPr>
          <w:rFonts w:ascii="Times New Roman" w:hAnsi="Times New Roman" w:cs="Times New Roman"/>
          <w:sz w:val="24"/>
          <w:szCs w:val="24"/>
        </w:rPr>
        <w:t>većanu</w:t>
      </w:r>
      <w:r w:rsidR="0066412A" w:rsidRPr="00EC3EAF">
        <w:rPr>
          <w:rFonts w:ascii="Times New Roman" w:hAnsi="Times New Roman" w:cs="Times New Roman"/>
          <w:sz w:val="24"/>
          <w:szCs w:val="24"/>
        </w:rPr>
        <w:t xml:space="preserve"> </w:t>
      </w:r>
      <w:r w:rsidR="00CE4421" w:rsidRPr="00EC3EAF">
        <w:rPr>
          <w:rFonts w:ascii="Times New Roman" w:hAnsi="Times New Roman" w:cs="Times New Roman"/>
          <w:sz w:val="24"/>
          <w:szCs w:val="24"/>
        </w:rPr>
        <w:t>realizacij</w:t>
      </w:r>
      <w:r w:rsidR="0066412A" w:rsidRPr="00EC3EAF">
        <w:rPr>
          <w:rFonts w:ascii="Times New Roman" w:hAnsi="Times New Roman" w:cs="Times New Roman"/>
          <w:sz w:val="24"/>
          <w:szCs w:val="24"/>
        </w:rPr>
        <w:t>u</w:t>
      </w:r>
      <w:r w:rsidR="004F5DB7" w:rsidRPr="00EC3EAF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CD6939" w:rsidRPr="00EC3EAF">
        <w:rPr>
          <w:rFonts w:ascii="Times New Roman" w:hAnsi="Times New Roman" w:cs="Times New Roman"/>
          <w:sz w:val="24"/>
          <w:szCs w:val="24"/>
        </w:rPr>
        <w:t xml:space="preserve"> prvo polugodišt</w:t>
      </w:r>
      <w:r w:rsidR="004F5DB7" w:rsidRPr="00EC3EAF">
        <w:rPr>
          <w:rFonts w:ascii="Times New Roman" w:hAnsi="Times New Roman" w:cs="Times New Roman"/>
          <w:sz w:val="24"/>
          <w:szCs w:val="24"/>
        </w:rPr>
        <w:t>e</w:t>
      </w:r>
      <w:r w:rsidR="00CD6939" w:rsidRPr="00EC3EAF">
        <w:rPr>
          <w:rFonts w:ascii="Times New Roman" w:hAnsi="Times New Roman" w:cs="Times New Roman"/>
          <w:sz w:val="24"/>
          <w:szCs w:val="24"/>
        </w:rPr>
        <w:t xml:space="preserve"> prethodne proračunske godine.</w:t>
      </w:r>
    </w:p>
    <w:p w14:paraId="2EAE9AC0" w14:textId="162CB1C1" w:rsidR="00092D89" w:rsidRPr="00EC0364" w:rsidRDefault="000E13B5" w:rsidP="00EC03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DA9">
        <w:rPr>
          <w:rFonts w:ascii="Times New Roman" w:hAnsi="Times New Roman" w:cs="Times New Roman"/>
          <w:b/>
          <w:sz w:val="24"/>
          <w:szCs w:val="24"/>
        </w:rPr>
        <w:t>Prihodi od poreza</w:t>
      </w:r>
      <w:r w:rsidR="00DB0D5C" w:rsidRPr="00887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DA9">
        <w:rPr>
          <w:rFonts w:ascii="Times New Roman" w:hAnsi="Times New Roman" w:cs="Times New Roman"/>
          <w:b/>
          <w:sz w:val="24"/>
          <w:szCs w:val="24"/>
        </w:rPr>
        <w:t>na dohodak</w:t>
      </w:r>
      <w:r w:rsidR="001B7726" w:rsidRPr="00887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24F" w:rsidRPr="00887DA9">
        <w:rPr>
          <w:rFonts w:ascii="Times New Roman" w:hAnsi="Times New Roman" w:cs="Times New Roman"/>
          <w:b/>
          <w:sz w:val="24"/>
          <w:szCs w:val="24"/>
        </w:rPr>
        <w:t xml:space="preserve">ostvareni su </w:t>
      </w:r>
      <w:r w:rsidR="000C78AA" w:rsidRPr="00887DA9">
        <w:rPr>
          <w:rFonts w:ascii="Times New Roman" w:hAnsi="Times New Roman" w:cs="Times New Roman"/>
          <w:b/>
          <w:sz w:val="24"/>
          <w:szCs w:val="24"/>
        </w:rPr>
        <w:t>u visini od</w:t>
      </w:r>
      <w:r w:rsidR="00033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364">
        <w:rPr>
          <w:rFonts w:ascii="Times New Roman" w:hAnsi="Times New Roman" w:cs="Times New Roman"/>
          <w:b/>
          <w:sz w:val="24"/>
          <w:szCs w:val="24"/>
        </w:rPr>
        <w:t>7.515.873</w:t>
      </w:r>
      <w:r w:rsidR="00033B7E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EC0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47F">
        <w:rPr>
          <w:rFonts w:ascii="Times New Roman" w:hAnsi="Times New Roman" w:cs="Times New Roman"/>
          <w:sz w:val="24"/>
          <w:szCs w:val="24"/>
        </w:rPr>
        <w:t xml:space="preserve">i </w:t>
      </w:r>
      <w:r w:rsidR="00FF3D12" w:rsidRPr="004D637E">
        <w:rPr>
          <w:rFonts w:ascii="Times New Roman" w:hAnsi="Times New Roman" w:cs="Times New Roman"/>
          <w:sz w:val="24"/>
          <w:szCs w:val="24"/>
        </w:rPr>
        <w:t xml:space="preserve">s udjelom od </w:t>
      </w:r>
      <w:r w:rsidR="00EC0364">
        <w:rPr>
          <w:rFonts w:ascii="Times New Roman" w:hAnsi="Times New Roman" w:cs="Times New Roman"/>
          <w:sz w:val="24"/>
          <w:szCs w:val="24"/>
        </w:rPr>
        <w:t>81</w:t>
      </w:r>
      <w:r w:rsidR="00FF3D12" w:rsidRPr="004D637E">
        <w:rPr>
          <w:rFonts w:ascii="Times New Roman" w:hAnsi="Times New Roman" w:cs="Times New Roman"/>
          <w:sz w:val="24"/>
          <w:szCs w:val="24"/>
        </w:rPr>
        <w:t>%</w:t>
      </w:r>
      <w:r w:rsidR="002C08A7">
        <w:rPr>
          <w:rFonts w:ascii="Times New Roman" w:hAnsi="Times New Roman" w:cs="Times New Roman"/>
          <w:sz w:val="24"/>
          <w:szCs w:val="24"/>
        </w:rPr>
        <w:t xml:space="preserve"> </w:t>
      </w:r>
      <w:r w:rsidR="006426F1" w:rsidRPr="004D637E">
        <w:rPr>
          <w:rFonts w:ascii="Times New Roman" w:hAnsi="Times New Roman" w:cs="Times New Roman"/>
          <w:sz w:val="24"/>
          <w:szCs w:val="24"/>
        </w:rPr>
        <w:t>vrijednosno su najznačajniji pri</w:t>
      </w:r>
      <w:r w:rsidR="00DB0D5C" w:rsidRPr="004D637E">
        <w:rPr>
          <w:rFonts w:ascii="Times New Roman" w:hAnsi="Times New Roman" w:cs="Times New Roman"/>
          <w:sz w:val="24"/>
          <w:szCs w:val="24"/>
        </w:rPr>
        <w:t xml:space="preserve">hodi u skupini poreznih prihoda. Njihova je realizacija </w:t>
      </w:r>
      <w:r w:rsidR="0051432E" w:rsidRPr="004D637E">
        <w:rPr>
          <w:rFonts w:ascii="Times New Roman" w:hAnsi="Times New Roman" w:cs="Times New Roman"/>
          <w:sz w:val="24"/>
          <w:szCs w:val="24"/>
        </w:rPr>
        <w:t xml:space="preserve">u </w:t>
      </w:r>
      <w:r w:rsidR="00092D89" w:rsidRPr="004D637E">
        <w:rPr>
          <w:rFonts w:ascii="Times New Roman" w:hAnsi="Times New Roman" w:cs="Times New Roman"/>
          <w:sz w:val="24"/>
          <w:szCs w:val="24"/>
        </w:rPr>
        <w:t>prvom polugodištu 20</w:t>
      </w:r>
      <w:r w:rsidR="00026842" w:rsidRPr="004D637E">
        <w:rPr>
          <w:rFonts w:ascii="Times New Roman" w:hAnsi="Times New Roman" w:cs="Times New Roman"/>
          <w:sz w:val="24"/>
          <w:szCs w:val="24"/>
        </w:rPr>
        <w:t>2</w:t>
      </w:r>
      <w:r w:rsidR="00EC0364">
        <w:rPr>
          <w:rFonts w:ascii="Times New Roman" w:hAnsi="Times New Roman" w:cs="Times New Roman"/>
          <w:sz w:val="24"/>
          <w:szCs w:val="24"/>
        </w:rPr>
        <w:t>5</w:t>
      </w:r>
      <w:r w:rsidR="0083055A" w:rsidRPr="004D637E">
        <w:rPr>
          <w:rFonts w:ascii="Times New Roman" w:hAnsi="Times New Roman" w:cs="Times New Roman"/>
          <w:sz w:val="24"/>
          <w:szCs w:val="24"/>
        </w:rPr>
        <w:t xml:space="preserve">. </w:t>
      </w:r>
      <w:r w:rsidR="00092D89" w:rsidRPr="004D637E">
        <w:rPr>
          <w:rFonts w:ascii="Times New Roman" w:hAnsi="Times New Roman" w:cs="Times New Roman"/>
          <w:sz w:val="24"/>
          <w:szCs w:val="24"/>
        </w:rPr>
        <w:t>godine u odnosu</w:t>
      </w:r>
      <w:r w:rsidR="00F97EF3" w:rsidRPr="004D637E">
        <w:rPr>
          <w:rFonts w:ascii="Times New Roman" w:hAnsi="Times New Roman" w:cs="Times New Roman"/>
          <w:sz w:val="24"/>
          <w:szCs w:val="24"/>
        </w:rPr>
        <w:t xml:space="preserve"> na prethodnu godinu </w:t>
      </w:r>
      <w:r w:rsidR="004D637E" w:rsidRPr="004D637E">
        <w:rPr>
          <w:rFonts w:ascii="Times New Roman" w:hAnsi="Times New Roman" w:cs="Times New Roman"/>
          <w:sz w:val="24"/>
          <w:szCs w:val="24"/>
        </w:rPr>
        <w:t>uvećana</w:t>
      </w:r>
      <w:r w:rsidR="00FF3D12" w:rsidRPr="004D637E">
        <w:rPr>
          <w:rFonts w:ascii="Times New Roman" w:hAnsi="Times New Roman" w:cs="Times New Roman"/>
          <w:sz w:val="24"/>
          <w:szCs w:val="24"/>
        </w:rPr>
        <w:t xml:space="preserve"> za </w:t>
      </w:r>
      <w:r w:rsidR="00EC0364">
        <w:rPr>
          <w:rFonts w:ascii="Times New Roman" w:hAnsi="Times New Roman" w:cs="Times New Roman"/>
          <w:sz w:val="24"/>
          <w:szCs w:val="24"/>
        </w:rPr>
        <w:t>4</w:t>
      </w:r>
      <w:r w:rsidR="00FF3D12" w:rsidRPr="004D637E">
        <w:rPr>
          <w:rFonts w:ascii="Times New Roman" w:hAnsi="Times New Roman" w:cs="Times New Roman"/>
          <w:sz w:val="24"/>
          <w:szCs w:val="24"/>
        </w:rPr>
        <w:t xml:space="preserve">%, te je prema </w:t>
      </w:r>
      <w:r w:rsidR="00F30FFF">
        <w:rPr>
          <w:rFonts w:ascii="Times New Roman" w:hAnsi="Times New Roman" w:cs="Times New Roman"/>
          <w:sz w:val="24"/>
          <w:szCs w:val="24"/>
        </w:rPr>
        <w:t>pojedinoj vrsti reali</w:t>
      </w:r>
      <w:r w:rsidR="00FF3D12" w:rsidRPr="004D637E">
        <w:rPr>
          <w:rFonts w:ascii="Times New Roman" w:hAnsi="Times New Roman" w:cs="Times New Roman"/>
          <w:sz w:val="24"/>
          <w:szCs w:val="24"/>
        </w:rPr>
        <w:t>zirano:</w:t>
      </w:r>
      <w:r w:rsidR="00742514" w:rsidRPr="004D637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Svijetlosjenanje-Isticanje11"/>
        <w:tblW w:w="9171" w:type="dxa"/>
        <w:tblLook w:val="04A0" w:firstRow="1" w:lastRow="0" w:firstColumn="1" w:lastColumn="0" w:noHBand="0" w:noVBand="1"/>
      </w:tblPr>
      <w:tblGrid>
        <w:gridCol w:w="520"/>
        <w:gridCol w:w="6158"/>
        <w:gridCol w:w="1596"/>
        <w:gridCol w:w="897"/>
      </w:tblGrid>
      <w:tr w:rsidR="00B60B96" w:rsidRPr="00C1139B" w14:paraId="2A572178" w14:textId="77777777" w:rsidTr="00C40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  <w:hideMark/>
          </w:tcPr>
          <w:p w14:paraId="7B73952F" w14:textId="77777777" w:rsidR="00426E4A" w:rsidRPr="00C1139B" w:rsidRDefault="00170E5F" w:rsidP="006508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  <w:hideMark/>
          </w:tcPr>
          <w:p w14:paraId="1C2F1952" w14:textId="77777777" w:rsidR="00426E4A" w:rsidRPr="00EC0364" w:rsidRDefault="00426E4A" w:rsidP="006508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EC03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Porez na dohodak od nesamostalnog rada – udio grada</w:t>
            </w:r>
            <w:r w:rsidR="00F6492E" w:rsidRPr="00EC03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96" w:type="dxa"/>
            <w:noWrap/>
          </w:tcPr>
          <w:p w14:paraId="55EB3255" w14:textId="4700946E" w:rsidR="00426E4A" w:rsidRPr="00EC0364" w:rsidRDefault="00EC0364" w:rsidP="002C08A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C03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5.762.287,54</w:t>
            </w:r>
          </w:p>
        </w:tc>
        <w:tc>
          <w:tcPr>
            <w:tcW w:w="897" w:type="dxa"/>
            <w:noWrap/>
            <w:hideMark/>
          </w:tcPr>
          <w:p w14:paraId="3AF6D506" w14:textId="77777777" w:rsidR="00426E4A" w:rsidRPr="00EC0364" w:rsidRDefault="00426E4A" w:rsidP="006508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60B96" w:rsidRPr="00C1139B" w14:paraId="63572DF6" w14:textId="77777777" w:rsidTr="00C40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  <w:hideMark/>
          </w:tcPr>
          <w:p w14:paraId="6BABCDB6" w14:textId="77777777" w:rsidR="00331D33" w:rsidRPr="00C1139B" w:rsidRDefault="00331D33" w:rsidP="006508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  <w:hideMark/>
          </w:tcPr>
          <w:p w14:paraId="38FFA625" w14:textId="77777777" w:rsidR="00331D33" w:rsidRPr="00C40125" w:rsidRDefault="00331D33" w:rsidP="00331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Porez na dohodak od samostalnih djelatnosti</w:t>
            </w:r>
          </w:p>
        </w:tc>
        <w:tc>
          <w:tcPr>
            <w:tcW w:w="1596" w:type="dxa"/>
            <w:noWrap/>
          </w:tcPr>
          <w:p w14:paraId="4295A9FD" w14:textId="5AE8F63B" w:rsidR="00331D33" w:rsidRPr="00C40125" w:rsidRDefault="00EC0364" w:rsidP="00331D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696.727,03</w:t>
            </w:r>
          </w:p>
        </w:tc>
        <w:tc>
          <w:tcPr>
            <w:tcW w:w="897" w:type="dxa"/>
            <w:noWrap/>
            <w:hideMark/>
          </w:tcPr>
          <w:p w14:paraId="02A732DE" w14:textId="77777777" w:rsidR="00331D33" w:rsidRPr="00C1139B" w:rsidRDefault="00331D33" w:rsidP="00650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B96" w:rsidRPr="00C1139B" w14:paraId="47778619" w14:textId="77777777" w:rsidTr="00EC036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  <w:hideMark/>
          </w:tcPr>
          <w:p w14:paraId="228B22DE" w14:textId="77777777" w:rsidR="00331D33" w:rsidRPr="00C1139B" w:rsidRDefault="00331D33" w:rsidP="006508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  <w:hideMark/>
          </w:tcPr>
          <w:p w14:paraId="4EC569BA" w14:textId="77777777" w:rsidR="00331D33" w:rsidRPr="00C40125" w:rsidRDefault="00331D33" w:rsidP="00331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Porez na dohodak od imovine i imovinskih prava</w:t>
            </w:r>
          </w:p>
        </w:tc>
        <w:tc>
          <w:tcPr>
            <w:tcW w:w="1596" w:type="dxa"/>
            <w:noWrap/>
          </w:tcPr>
          <w:p w14:paraId="0675DE90" w14:textId="6449D630" w:rsidR="00331D33" w:rsidRPr="00C40125" w:rsidRDefault="00EC0364" w:rsidP="00331D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741.308,55</w:t>
            </w:r>
          </w:p>
        </w:tc>
        <w:tc>
          <w:tcPr>
            <w:tcW w:w="897" w:type="dxa"/>
            <w:noWrap/>
          </w:tcPr>
          <w:p w14:paraId="72E7F38E" w14:textId="77777777" w:rsidR="00331D33" w:rsidRPr="00C1139B" w:rsidRDefault="00331D33" w:rsidP="00650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B96" w:rsidRPr="00C1139B" w14:paraId="637E043C" w14:textId="77777777" w:rsidTr="00C40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</w:tcPr>
          <w:p w14:paraId="4F603C21" w14:textId="77777777" w:rsidR="00331D33" w:rsidRPr="00C1139B" w:rsidRDefault="00331D33"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</w:tcPr>
          <w:p w14:paraId="39EFB008" w14:textId="77777777" w:rsidR="00331D33" w:rsidRPr="00C40125" w:rsidRDefault="00331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Porez na dohodak od kapitala</w:t>
            </w:r>
          </w:p>
        </w:tc>
        <w:tc>
          <w:tcPr>
            <w:tcW w:w="1596" w:type="dxa"/>
            <w:noWrap/>
          </w:tcPr>
          <w:p w14:paraId="3B40E7EA" w14:textId="51D3127E" w:rsidR="00331D33" w:rsidRPr="00C40125" w:rsidRDefault="00EC0364" w:rsidP="00331D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1.088.619,12</w:t>
            </w:r>
          </w:p>
        </w:tc>
        <w:tc>
          <w:tcPr>
            <w:tcW w:w="897" w:type="dxa"/>
            <w:noWrap/>
          </w:tcPr>
          <w:p w14:paraId="440DE103" w14:textId="77777777" w:rsidR="00331D33" w:rsidRPr="00C1139B" w:rsidRDefault="00331D33" w:rsidP="00650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B96" w:rsidRPr="00C1139B" w14:paraId="26047B58" w14:textId="77777777" w:rsidTr="00C401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</w:tcPr>
          <w:p w14:paraId="74754AF5" w14:textId="77777777" w:rsidR="002C08A7" w:rsidRPr="00C1139B" w:rsidRDefault="002C08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</w:tcPr>
          <w:p w14:paraId="52C99F0D" w14:textId="77777777" w:rsidR="002C08A7" w:rsidRPr="00C40125" w:rsidRDefault="002C0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Porez na dohodak po godišnjoj prijavi</w:t>
            </w:r>
          </w:p>
        </w:tc>
        <w:tc>
          <w:tcPr>
            <w:tcW w:w="1596" w:type="dxa"/>
            <w:noWrap/>
          </w:tcPr>
          <w:p w14:paraId="1BE78DEA" w14:textId="2CF546B6" w:rsidR="002C08A7" w:rsidRPr="00C40125" w:rsidRDefault="00EC0364" w:rsidP="00331D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578.241,48</w:t>
            </w:r>
          </w:p>
        </w:tc>
        <w:tc>
          <w:tcPr>
            <w:tcW w:w="897" w:type="dxa"/>
            <w:noWrap/>
          </w:tcPr>
          <w:p w14:paraId="1D3C1BD5" w14:textId="77777777" w:rsidR="002C08A7" w:rsidRPr="00C1139B" w:rsidRDefault="002C08A7" w:rsidP="00650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364" w:rsidRPr="00C1139B" w14:paraId="7DE387E8" w14:textId="77777777" w:rsidTr="00C40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</w:tcPr>
          <w:p w14:paraId="14FCA4F4" w14:textId="77777777" w:rsidR="00EC0364" w:rsidRPr="00C1139B" w:rsidRDefault="00EC0364" w:rsidP="00EC0364"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</w:tcPr>
          <w:p w14:paraId="3B50F125" w14:textId="01EF67AD" w:rsidR="00EC0364" w:rsidRPr="00C40125" w:rsidRDefault="00EC0364" w:rsidP="00E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Povrat poreza na dohodak po godišnjoj prijavi</w:t>
            </w:r>
          </w:p>
        </w:tc>
        <w:tc>
          <w:tcPr>
            <w:tcW w:w="1596" w:type="dxa"/>
            <w:noWrap/>
          </w:tcPr>
          <w:p w14:paraId="2B3FDD61" w14:textId="231762A3" w:rsidR="00EC0364" w:rsidRPr="00C40125" w:rsidRDefault="00EC0364" w:rsidP="00EC03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351.309,82</w:t>
            </w:r>
          </w:p>
        </w:tc>
        <w:tc>
          <w:tcPr>
            <w:tcW w:w="897" w:type="dxa"/>
            <w:noWrap/>
          </w:tcPr>
          <w:p w14:paraId="4C1C89E9" w14:textId="77777777" w:rsidR="00EC0364" w:rsidRPr="00C1139B" w:rsidRDefault="00EC0364" w:rsidP="00E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AB642D" w14:textId="77777777" w:rsidR="00EC0364" w:rsidRDefault="00EC0364" w:rsidP="00C60F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E4F7F" w14:textId="2C4F4E4A" w:rsidR="007F047F" w:rsidRDefault="000E13B5" w:rsidP="00C60F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E69">
        <w:rPr>
          <w:rFonts w:ascii="Times New Roman" w:hAnsi="Times New Roman" w:cs="Times New Roman"/>
          <w:b/>
          <w:sz w:val="24"/>
          <w:szCs w:val="24"/>
        </w:rPr>
        <w:t>Prihodi od poreza na promet nekretnina</w:t>
      </w:r>
      <w:r w:rsidR="004A4D0A" w:rsidRPr="00424E69">
        <w:rPr>
          <w:rFonts w:ascii="Times New Roman" w:hAnsi="Times New Roman" w:cs="Times New Roman"/>
          <w:b/>
          <w:sz w:val="24"/>
          <w:szCs w:val="24"/>
        </w:rPr>
        <w:t xml:space="preserve"> ostvareni</w:t>
      </w:r>
      <w:r w:rsidR="00A6524F" w:rsidRPr="00424E69">
        <w:rPr>
          <w:rFonts w:ascii="Times New Roman" w:hAnsi="Times New Roman" w:cs="Times New Roman"/>
          <w:b/>
          <w:sz w:val="24"/>
          <w:szCs w:val="24"/>
        </w:rPr>
        <w:t xml:space="preserve"> su </w:t>
      </w:r>
      <w:r w:rsidRPr="00424E69">
        <w:rPr>
          <w:rFonts w:ascii="Times New Roman" w:hAnsi="Times New Roman" w:cs="Times New Roman"/>
          <w:b/>
          <w:sz w:val="24"/>
          <w:szCs w:val="24"/>
        </w:rPr>
        <w:t xml:space="preserve">u iznosu </w:t>
      </w:r>
      <w:r w:rsidR="00F30FFF">
        <w:rPr>
          <w:rFonts w:ascii="Times New Roman" w:hAnsi="Times New Roman" w:cs="Times New Roman"/>
          <w:b/>
          <w:sz w:val="24"/>
          <w:szCs w:val="24"/>
        </w:rPr>
        <w:t>1.</w:t>
      </w:r>
      <w:r w:rsidR="00EC0364">
        <w:rPr>
          <w:rFonts w:ascii="Times New Roman" w:hAnsi="Times New Roman" w:cs="Times New Roman"/>
          <w:b/>
          <w:sz w:val="24"/>
          <w:szCs w:val="24"/>
        </w:rPr>
        <w:t>156.356</w:t>
      </w:r>
      <w:r w:rsidR="00B60B96">
        <w:rPr>
          <w:rFonts w:ascii="Times New Roman" w:hAnsi="Times New Roman" w:cs="Times New Roman"/>
          <w:b/>
          <w:sz w:val="24"/>
          <w:szCs w:val="24"/>
        </w:rPr>
        <w:t>,</w:t>
      </w:r>
      <w:r w:rsidR="00EC0364">
        <w:rPr>
          <w:rFonts w:ascii="Times New Roman" w:hAnsi="Times New Roman" w:cs="Times New Roman"/>
          <w:b/>
          <w:sz w:val="24"/>
          <w:szCs w:val="24"/>
        </w:rPr>
        <w:t>88</w:t>
      </w:r>
      <w:r w:rsidR="00F30FFF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742514" w:rsidRPr="008554B9">
        <w:rPr>
          <w:rFonts w:ascii="Times New Roman" w:hAnsi="Times New Roman" w:cs="Times New Roman"/>
          <w:sz w:val="24"/>
          <w:szCs w:val="24"/>
        </w:rPr>
        <w:t xml:space="preserve">, </w:t>
      </w:r>
      <w:r w:rsidR="00D845A0">
        <w:rPr>
          <w:rFonts w:ascii="Times New Roman" w:hAnsi="Times New Roman" w:cs="Times New Roman"/>
          <w:sz w:val="24"/>
          <w:szCs w:val="24"/>
        </w:rPr>
        <w:t xml:space="preserve">čime je realizirano </w:t>
      </w:r>
      <w:r w:rsidR="00B60B96">
        <w:rPr>
          <w:rFonts w:ascii="Times New Roman" w:hAnsi="Times New Roman" w:cs="Times New Roman"/>
          <w:sz w:val="24"/>
          <w:szCs w:val="24"/>
        </w:rPr>
        <w:t>5</w:t>
      </w:r>
      <w:r w:rsidR="00EC0364">
        <w:rPr>
          <w:rFonts w:ascii="Times New Roman" w:hAnsi="Times New Roman" w:cs="Times New Roman"/>
          <w:sz w:val="24"/>
          <w:szCs w:val="24"/>
        </w:rPr>
        <w:t>4</w:t>
      </w:r>
      <w:r w:rsidR="00742514" w:rsidRPr="008554B9">
        <w:rPr>
          <w:rFonts w:ascii="Times New Roman" w:hAnsi="Times New Roman" w:cs="Times New Roman"/>
          <w:sz w:val="24"/>
          <w:szCs w:val="24"/>
        </w:rPr>
        <w:t>%</w:t>
      </w:r>
      <w:r w:rsidR="00A72DE3" w:rsidRPr="008554B9">
        <w:rPr>
          <w:rFonts w:ascii="Times New Roman" w:hAnsi="Times New Roman" w:cs="Times New Roman"/>
          <w:sz w:val="24"/>
          <w:szCs w:val="24"/>
        </w:rPr>
        <w:t xml:space="preserve"> P</w:t>
      </w:r>
      <w:r w:rsidRPr="008554B9">
        <w:rPr>
          <w:rFonts w:ascii="Times New Roman" w:hAnsi="Times New Roman" w:cs="Times New Roman"/>
          <w:sz w:val="24"/>
          <w:szCs w:val="24"/>
        </w:rPr>
        <w:t>lana</w:t>
      </w:r>
      <w:r w:rsidR="00B14149" w:rsidRPr="008554B9">
        <w:rPr>
          <w:rFonts w:ascii="Times New Roman" w:hAnsi="Times New Roman" w:cs="Times New Roman"/>
          <w:sz w:val="24"/>
          <w:szCs w:val="24"/>
        </w:rPr>
        <w:t>,</w:t>
      </w:r>
      <w:r w:rsidRPr="008554B9">
        <w:rPr>
          <w:rFonts w:ascii="Times New Roman" w:hAnsi="Times New Roman" w:cs="Times New Roman"/>
          <w:sz w:val="24"/>
          <w:szCs w:val="24"/>
        </w:rPr>
        <w:t xml:space="preserve"> </w:t>
      </w:r>
      <w:r w:rsidR="00A72DE3" w:rsidRPr="008554B9">
        <w:rPr>
          <w:rFonts w:ascii="Times New Roman" w:hAnsi="Times New Roman" w:cs="Times New Roman"/>
          <w:sz w:val="24"/>
          <w:szCs w:val="24"/>
        </w:rPr>
        <w:t xml:space="preserve">a u odnosu </w:t>
      </w:r>
      <w:r w:rsidR="00742514" w:rsidRPr="008554B9">
        <w:rPr>
          <w:rFonts w:ascii="Times New Roman" w:hAnsi="Times New Roman" w:cs="Times New Roman"/>
          <w:sz w:val="24"/>
          <w:szCs w:val="24"/>
        </w:rPr>
        <w:t>na</w:t>
      </w:r>
      <w:r w:rsidR="00A72DE3" w:rsidRPr="008554B9">
        <w:rPr>
          <w:rFonts w:ascii="Times New Roman" w:hAnsi="Times New Roman" w:cs="Times New Roman"/>
          <w:sz w:val="24"/>
          <w:szCs w:val="24"/>
        </w:rPr>
        <w:t xml:space="preserve"> jednako izvještajno razdoblje prethodne godine </w:t>
      </w:r>
      <w:r w:rsidR="00F30FFF">
        <w:rPr>
          <w:rFonts w:ascii="Times New Roman" w:hAnsi="Times New Roman" w:cs="Times New Roman"/>
          <w:sz w:val="24"/>
          <w:szCs w:val="24"/>
        </w:rPr>
        <w:t>manji su za 1</w:t>
      </w:r>
      <w:r w:rsidR="00EC0364">
        <w:rPr>
          <w:rFonts w:ascii="Times New Roman" w:hAnsi="Times New Roman" w:cs="Times New Roman"/>
          <w:sz w:val="24"/>
          <w:szCs w:val="24"/>
        </w:rPr>
        <w:t>7</w:t>
      </w:r>
      <w:r w:rsidR="00F30FFF">
        <w:rPr>
          <w:rFonts w:ascii="Times New Roman" w:hAnsi="Times New Roman" w:cs="Times New Roman"/>
          <w:sz w:val="24"/>
          <w:szCs w:val="24"/>
        </w:rPr>
        <w:t>%.</w:t>
      </w:r>
      <w:r w:rsidR="00A72DE3" w:rsidRPr="00424E69">
        <w:rPr>
          <w:rFonts w:ascii="Times New Roman" w:hAnsi="Times New Roman" w:cs="Times New Roman"/>
          <w:sz w:val="24"/>
          <w:szCs w:val="24"/>
        </w:rPr>
        <w:t xml:space="preserve"> </w:t>
      </w:r>
      <w:r w:rsidR="00742514" w:rsidRPr="00424E69">
        <w:rPr>
          <w:rFonts w:ascii="Times New Roman" w:hAnsi="Times New Roman" w:cs="Times New Roman"/>
          <w:sz w:val="24"/>
          <w:szCs w:val="24"/>
        </w:rPr>
        <w:t xml:space="preserve">U ukupnim poreznim </w:t>
      </w:r>
      <w:r w:rsidR="00F30FFF">
        <w:rPr>
          <w:rFonts w:ascii="Times New Roman" w:hAnsi="Times New Roman" w:cs="Times New Roman"/>
          <w:sz w:val="24"/>
          <w:szCs w:val="24"/>
        </w:rPr>
        <w:t>prihodima</w:t>
      </w:r>
      <w:r w:rsidR="00742514" w:rsidRPr="00424E69">
        <w:rPr>
          <w:rFonts w:ascii="Times New Roman" w:hAnsi="Times New Roman" w:cs="Times New Roman"/>
          <w:sz w:val="24"/>
          <w:szCs w:val="24"/>
        </w:rPr>
        <w:t xml:space="preserve"> navedeni porez ima udio od </w:t>
      </w:r>
      <w:r w:rsidR="005049C4">
        <w:rPr>
          <w:rFonts w:ascii="Times New Roman" w:hAnsi="Times New Roman" w:cs="Times New Roman"/>
          <w:sz w:val="24"/>
          <w:szCs w:val="24"/>
        </w:rPr>
        <w:t>12,5</w:t>
      </w:r>
      <w:r w:rsidR="00742514" w:rsidRPr="00424E69">
        <w:rPr>
          <w:rFonts w:ascii="Times New Roman" w:hAnsi="Times New Roman" w:cs="Times New Roman"/>
          <w:sz w:val="24"/>
          <w:szCs w:val="24"/>
        </w:rPr>
        <w:t>%.</w:t>
      </w:r>
      <w:r w:rsidR="00F317F8" w:rsidRPr="00424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50290" w14:textId="12EE939C" w:rsidR="005049C4" w:rsidRDefault="000E13B5" w:rsidP="00675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9D">
        <w:rPr>
          <w:rFonts w:ascii="Times New Roman" w:hAnsi="Times New Roman" w:cs="Times New Roman"/>
          <w:b/>
          <w:sz w:val="24"/>
          <w:szCs w:val="24"/>
        </w:rPr>
        <w:lastRenderedPageBreak/>
        <w:t>Prihodi od gradskih</w:t>
      </w:r>
      <w:r w:rsidR="00293439" w:rsidRPr="00CC489D">
        <w:rPr>
          <w:rFonts w:ascii="Times New Roman" w:hAnsi="Times New Roman" w:cs="Times New Roman"/>
          <w:b/>
          <w:sz w:val="24"/>
          <w:szCs w:val="24"/>
        </w:rPr>
        <w:t xml:space="preserve"> (lokalnih)</w:t>
      </w:r>
      <w:r w:rsidRPr="00CC489D">
        <w:rPr>
          <w:rFonts w:ascii="Times New Roman" w:hAnsi="Times New Roman" w:cs="Times New Roman"/>
          <w:b/>
          <w:sz w:val="24"/>
          <w:szCs w:val="24"/>
        </w:rPr>
        <w:t xml:space="preserve"> poreza</w:t>
      </w:r>
      <w:r w:rsidR="00A6524F" w:rsidRPr="00CC489D">
        <w:rPr>
          <w:rFonts w:ascii="Times New Roman" w:hAnsi="Times New Roman" w:cs="Times New Roman"/>
          <w:b/>
          <w:sz w:val="24"/>
          <w:szCs w:val="24"/>
        </w:rPr>
        <w:t xml:space="preserve"> ostvareni su </w:t>
      </w:r>
      <w:r w:rsidR="00A72DE3" w:rsidRPr="00CC489D">
        <w:rPr>
          <w:rFonts w:ascii="Times New Roman" w:hAnsi="Times New Roman" w:cs="Times New Roman"/>
          <w:b/>
          <w:sz w:val="24"/>
          <w:szCs w:val="24"/>
        </w:rPr>
        <w:t xml:space="preserve">visini od </w:t>
      </w:r>
      <w:r w:rsidR="005049C4">
        <w:rPr>
          <w:rFonts w:ascii="Times New Roman" w:hAnsi="Times New Roman" w:cs="Times New Roman"/>
          <w:b/>
          <w:sz w:val="24"/>
          <w:szCs w:val="24"/>
        </w:rPr>
        <w:t>588.718,5</w:t>
      </w:r>
      <w:r w:rsidR="00675077">
        <w:rPr>
          <w:rFonts w:ascii="Times New Roman" w:hAnsi="Times New Roman" w:cs="Times New Roman"/>
          <w:b/>
          <w:sz w:val="24"/>
          <w:szCs w:val="24"/>
        </w:rPr>
        <w:t>0</w:t>
      </w:r>
      <w:r w:rsidR="00F30FFF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AB120C" w:rsidRPr="00CC48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120C" w:rsidRPr="00CC489D">
        <w:rPr>
          <w:rFonts w:ascii="Times New Roman" w:hAnsi="Times New Roman" w:cs="Times New Roman"/>
          <w:sz w:val="24"/>
          <w:szCs w:val="24"/>
        </w:rPr>
        <w:t xml:space="preserve">što predstavlja </w:t>
      </w:r>
      <w:r w:rsidR="005049C4">
        <w:rPr>
          <w:rFonts w:ascii="Times New Roman" w:hAnsi="Times New Roman" w:cs="Times New Roman"/>
          <w:sz w:val="24"/>
          <w:szCs w:val="24"/>
        </w:rPr>
        <w:t>smanjenje od 56%</w:t>
      </w:r>
      <w:r w:rsidR="00D178E1">
        <w:rPr>
          <w:rFonts w:ascii="Times New Roman" w:hAnsi="Times New Roman" w:cs="Times New Roman"/>
          <w:sz w:val="24"/>
          <w:szCs w:val="24"/>
        </w:rPr>
        <w:t xml:space="preserve"> u odnosu na prethodno izvještajno razdoblje</w:t>
      </w:r>
      <w:r w:rsidR="005049C4">
        <w:rPr>
          <w:rFonts w:ascii="Times New Roman" w:hAnsi="Times New Roman" w:cs="Times New Roman"/>
          <w:sz w:val="24"/>
          <w:szCs w:val="24"/>
        </w:rPr>
        <w:t xml:space="preserve">. Obzirom da je novi Zakon o lokalnim porezima kojim je uveden porez na nekretnine stupio na snagu 01.01.2025. godine, razrez poreza izvršen je u  mjesecu srpnju te će se prihodi s navedene osnove realizirati u drugom polugodištu tekuće godine. </w:t>
      </w:r>
    </w:p>
    <w:p w14:paraId="7CBEC181" w14:textId="209BF6FE" w:rsidR="005049C4" w:rsidRDefault="005049C4" w:rsidP="00675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je prikazana realizacija gradskih poreza:</w:t>
      </w:r>
    </w:p>
    <w:p w14:paraId="21310210" w14:textId="60E00383" w:rsidR="00492313" w:rsidRPr="00675077" w:rsidRDefault="00492313" w:rsidP="006750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34" w:type="dxa"/>
        <w:tblInd w:w="93" w:type="dxa"/>
        <w:tblLook w:val="04A0" w:firstRow="1" w:lastRow="0" w:firstColumn="1" w:lastColumn="0" w:noHBand="0" w:noVBand="1"/>
      </w:tblPr>
      <w:tblGrid>
        <w:gridCol w:w="520"/>
        <w:gridCol w:w="6158"/>
        <w:gridCol w:w="1559"/>
        <w:gridCol w:w="897"/>
      </w:tblGrid>
      <w:tr w:rsidR="00B307AD" w:rsidRPr="00B307AD" w14:paraId="34336049" w14:textId="77777777" w:rsidTr="007C71F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DF20" w14:textId="77777777" w:rsidR="00865BCF" w:rsidRPr="00D137FF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7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BB1E" w14:textId="77777777" w:rsidR="00865BCF" w:rsidRPr="00D137FF" w:rsidRDefault="00865BCF" w:rsidP="00A6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7FF">
              <w:rPr>
                <w:rFonts w:ascii="Times New Roman" w:eastAsia="Times New Roman" w:hAnsi="Times New Roman" w:cs="Times New Roman"/>
                <w:sz w:val="24"/>
                <w:szCs w:val="24"/>
              </w:rPr>
              <w:t>Porez na kuće za odmor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B6EB4" w14:textId="2FC27DC7" w:rsidR="00865BCF" w:rsidRPr="00D137FF" w:rsidRDefault="005049C4" w:rsidP="00FF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51.258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AC29" w14:textId="77777777" w:rsidR="00865BCF" w:rsidRPr="00D137FF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7AD" w:rsidRPr="00B307AD" w14:paraId="51EC7A28" w14:textId="77777777" w:rsidTr="007C71F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9D9F" w14:textId="77777777" w:rsidR="00865BCF" w:rsidRPr="00D137FF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7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B315" w14:textId="77777777" w:rsidR="00865BCF" w:rsidRPr="00D137FF" w:rsidRDefault="00865BCF" w:rsidP="00A6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7FF">
              <w:rPr>
                <w:rFonts w:ascii="Times New Roman" w:eastAsia="Times New Roman" w:hAnsi="Times New Roman" w:cs="Times New Roman"/>
                <w:sz w:val="24"/>
                <w:szCs w:val="24"/>
              </w:rPr>
              <w:t>Porez na korištenje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AE9B1" w14:textId="0B806AF9" w:rsidR="00865BCF" w:rsidRPr="00D137FF" w:rsidRDefault="005049C4" w:rsidP="00FF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361.596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2CEE" w14:textId="77777777" w:rsidR="00865BCF" w:rsidRPr="00D137FF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7AD" w:rsidRPr="00B307AD" w14:paraId="626243DA" w14:textId="77777777" w:rsidTr="007C71F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263F" w14:textId="77777777" w:rsidR="00865BCF" w:rsidRPr="00F22F65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374C" w14:textId="77777777" w:rsidR="00865BCF" w:rsidRPr="00F22F65" w:rsidRDefault="00865BCF" w:rsidP="00A6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65">
              <w:rPr>
                <w:rFonts w:ascii="Times New Roman" w:eastAsia="Times New Roman" w:hAnsi="Times New Roman" w:cs="Times New Roman"/>
                <w:sz w:val="24"/>
                <w:szCs w:val="24"/>
              </w:rPr>
              <w:t>Porez na potrošnju alkoholnih i bezalkoholnih pića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D348E" w14:textId="64FBABC1" w:rsidR="00865BCF" w:rsidRPr="00F22F65" w:rsidRDefault="005049C4" w:rsidP="0086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164.326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EC2C" w14:textId="77777777" w:rsidR="00865BCF" w:rsidRPr="00B307AD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865BCF" w:rsidRPr="00B307AD" w14:paraId="49B165D0" w14:textId="77777777" w:rsidTr="007C71F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EEEA" w14:textId="77777777" w:rsidR="00865BCF" w:rsidRPr="00F22F65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765B" w14:textId="1EFE5258" w:rsidR="00865BCF" w:rsidRPr="00F22F65" w:rsidRDefault="00865BCF" w:rsidP="00A6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Porez na </w:t>
            </w:r>
            <w:r w:rsidR="005049C4">
              <w:rPr>
                <w:rFonts w:ascii="Times New Roman" w:eastAsia="Times New Roman" w:hAnsi="Times New Roman" w:cs="Times New Roman"/>
                <w:sz w:val="24"/>
                <w:szCs w:val="24"/>
              </w:rPr>
              <w:t>nekretnine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318A" w14:textId="3D03933C" w:rsidR="00865BCF" w:rsidRPr="00F22F65" w:rsidRDefault="005049C4" w:rsidP="00F2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11.527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429C" w14:textId="77777777" w:rsidR="00865BCF" w:rsidRPr="00B307AD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</w:tbl>
    <w:p w14:paraId="7360A0FE" w14:textId="77777777" w:rsidR="00C40125" w:rsidRDefault="00C40125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78AA8" w14:textId="2DFC2161" w:rsidR="00833A10" w:rsidRPr="00BA0B8A" w:rsidRDefault="00CB6898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Stalni porezi</w:t>
      </w:r>
      <w:r w:rsidR="00B221F3" w:rsidRPr="00BA0B8A">
        <w:rPr>
          <w:rFonts w:ascii="Times New Roman" w:hAnsi="Times New Roman" w:cs="Times New Roman"/>
          <w:sz w:val="24"/>
          <w:szCs w:val="24"/>
        </w:rPr>
        <w:t xml:space="preserve"> na imovinu</w:t>
      </w:r>
      <w:r w:rsidR="002C6645">
        <w:rPr>
          <w:rFonts w:ascii="Times New Roman" w:hAnsi="Times New Roman" w:cs="Times New Roman"/>
          <w:sz w:val="24"/>
          <w:szCs w:val="24"/>
        </w:rPr>
        <w:t xml:space="preserve"> </w:t>
      </w:r>
      <w:r w:rsidR="00B221F3" w:rsidRPr="00BA0B8A">
        <w:rPr>
          <w:rFonts w:ascii="Times New Roman" w:hAnsi="Times New Roman" w:cs="Times New Roman"/>
          <w:sz w:val="24"/>
          <w:szCs w:val="24"/>
        </w:rPr>
        <w:t>(porez na kuće za odmor</w:t>
      </w:r>
      <w:r w:rsidR="002E073D">
        <w:rPr>
          <w:rFonts w:ascii="Times New Roman" w:hAnsi="Times New Roman" w:cs="Times New Roman"/>
          <w:sz w:val="24"/>
          <w:szCs w:val="24"/>
        </w:rPr>
        <w:t>, porez</w:t>
      </w:r>
      <w:r w:rsidR="00B221F3" w:rsidRPr="00BA0B8A">
        <w:rPr>
          <w:rFonts w:ascii="Times New Roman" w:hAnsi="Times New Roman" w:cs="Times New Roman"/>
          <w:sz w:val="24"/>
          <w:szCs w:val="24"/>
        </w:rPr>
        <w:t xml:space="preserve"> na korištenje javnih površina</w:t>
      </w:r>
      <w:r w:rsidR="002E073D">
        <w:rPr>
          <w:rFonts w:ascii="Times New Roman" w:hAnsi="Times New Roman" w:cs="Times New Roman"/>
          <w:sz w:val="24"/>
          <w:szCs w:val="24"/>
        </w:rPr>
        <w:t xml:space="preserve"> i porez na nekretnine</w:t>
      </w:r>
      <w:r w:rsidR="00B221F3" w:rsidRPr="00BA0B8A">
        <w:rPr>
          <w:rFonts w:ascii="Times New Roman" w:hAnsi="Times New Roman" w:cs="Times New Roman"/>
          <w:sz w:val="24"/>
          <w:szCs w:val="24"/>
        </w:rPr>
        <w:t xml:space="preserve">)  realizirani su u iznosu od </w:t>
      </w:r>
      <w:r w:rsidR="002E073D">
        <w:rPr>
          <w:rFonts w:ascii="Times New Roman" w:hAnsi="Times New Roman" w:cs="Times New Roman"/>
          <w:sz w:val="24"/>
          <w:szCs w:val="24"/>
        </w:rPr>
        <w:t>588.707</w:t>
      </w:r>
      <w:r w:rsidR="0080431B">
        <w:rPr>
          <w:rFonts w:ascii="Times New Roman" w:hAnsi="Times New Roman" w:cs="Times New Roman"/>
          <w:sz w:val="24"/>
          <w:szCs w:val="24"/>
        </w:rPr>
        <w:t xml:space="preserve"> eura</w:t>
      </w:r>
      <w:r w:rsidR="00B221F3" w:rsidRPr="00BA0B8A">
        <w:rPr>
          <w:rFonts w:ascii="Times New Roman" w:hAnsi="Times New Roman" w:cs="Times New Roman"/>
          <w:sz w:val="24"/>
          <w:szCs w:val="24"/>
        </w:rPr>
        <w:t xml:space="preserve">, čime je </w:t>
      </w:r>
      <w:r w:rsidR="0019637A" w:rsidRPr="00BA0B8A">
        <w:rPr>
          <w:rFonts w:ascii="Times New Roman" w:hAnsi="Times New Roman" w:cs="Times New Roman"/>
          <w:sz w:val="24"/>
          <w:szCs w:val="24"/>
        </w:rPr>
        <w:t xml:space="preserve">u prvoj polovini godine </w:t>
      </w:r>
      <w:r w:rsidR="00B221F3" w:rsidRPr="00BA0B8A">
        <w:rPr>
          <w:rFonts w:ascii="Times New Roman" w:hAnsi="Times New Roman" w:cs="Times New Roman"/>
          <w:sz w:val="24"/>
          <w:szCs w:val="24"/>
        </w:rPr>
        <w:t xml:space="preserve">ostvareno </w:t>
      </w:r>
      <w:r w:rsidR="002E073D">
        <w:rPr>
          <w:rFonts w:ascii="Times New Roman" w:hAnsi="Times New Roman" w:cs="Times New Roman"/>
          <w:sz w:val="24"/>
          <w:szCs w:val="24"/>
        </w:rPr>
        <w:t>33</w:t>
      </w:r>
      <w:r w:rsidR="00B221F3" w:rsidRPr="00BA0B8A">
        <w:rPr>
          <w:rFonts w:ascii="Times New Roman" w:hAnsi="Times New Roman" w:cs="Times New Roman"/>
          <w:sz w:val="24"/>
          <w:szCs w:val="24"/>
        </w:rPr>
        <w:t xml:space="preserve">% Plana. </w:t>
      </w:r>
    </w:p>
    <w:p w14:paraId="0C0F2979" w14:textId="2D3027D3" w:rsidR="002051E2" w:rsidRDefault="00B221F3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29A">
        <w:rPr>
          <w:rFonts w:ascii="Times New Roman" w:hAnsi="Times New Roman" w:cs="Times New Roman"/>
          <w:sz w:val="24"/>
          <w:szCs w:val="24"/>
        </w:rPr>
        <w:t>Porezi na robu i usluge (</w:t>
      </w:r>
      <w:r w:rsidR="00833A10" w:rsidRPr="0041129A">
        <w:rPr>
          <w:rFonts w:ascii="Times New Roman" w:hAnsi="Times New Roman" w:cs="Times New Roman"/>
          <w:sz w:val="24"/>
          <w:szCs w:val="24"/>
        </w:rPr>
        <w:t>porez na potrošnju) realiziran</w:t>
      </w:r>
      <w:r w:rsidR="002E073D">
        <w:rPr>
          <w:rFonts w:ascii="Times New Roman" w:hAnsi="Times New Roman" w:cs="Times New Roman"/>
          <w:sz w:val="24"/>
          <w:szCs w:val="24"/>
        </w:rPr>
        <w:t xml:space="preserve"> je </w:t>
      </w:r>
      <w:r w:rsidR="00833A10" w:rsidRPr="0041129A">
        <w:rPr>
          <w:rFonts w:ascii="Times New Roman" w:hAnsi="Times New Roman" w:cs="Times New Roman"/>
          <w:sz w:val="24"/>
          <w:szCs w:val="24"/>
        </w:rPr>
        <w:t xml:space="preserve">u visini od </w:t>
      </w:r>
      <w:r w:rsidR="0080431B">
        <w:rPr>
          <w:rFonts w:ascii="Times New Roman" w:hAnsi="Times New Roman" w:cs="Times New Roman"/>
          <w:sz w:val="24"/>
          <w:szCs w:val="24"/>
        </w:rPr>
        <w:t>1</w:t>
      </w:r>
      <w:r w:rsidR="002E073D">
        <w:rPr>
          <w:rFonts w:ascii="Times New Roman" w:hAnsi="Times New Roman" w:cs="Times New Roman"/>
          <w:sz w:val="24"/>
          <w:szCs w:val="24"/>
        </w:rPr>
        <w:t>64.326</w:t>
      </w:r>
      <w:r w:rsidR="003A1B28" w:rsidRPr="0041129A">
        <w:rPr>
          <w:rFonts w:ascii="Times New Roman" w:hAnsi="Times New Roman" w:cs="Times New Roman"/>
          <w:sz w:val="24"/>
          <w:szCs w:val="24"/>
        </w:rPr>
        <w:t xml:space="preserve"> </w:t>
      </w:r>
      <w:r w:rsidR="0080431B">
        <w:rPr>
          <w:rFonts w:ascii="Times New Roman" w:hAnsi="Times New Roman" w:cs="Times New Roman"/>
          <w:sz w:val="24"/>
          <w:szCs w:val="24"/>
        </w:rPr>
        <w:t>eura</w:t>
      </w:r>
      <w:r w:rsidR="00833A10" w:rsidRPr="0041129A">
        <w:rPr>
          <w:rFonts w:ascii="Times New Roman" w:hAnsi="Times New Roman" w:cs="Times New Roman"/>
          <w:sz w:val="24"/>
          <w:szCs w:val="24"/>
        </w:rPr>
        <w:t xml:space="preserve"> </w:t>
      </w:r>
      <w:r w:rsidR="002E073D">
        <w:rPr>
          <w:rFonts w:ascii="Times New Roman" w:hAnsi="Times New Roman" w:cs="Times New Roman"/>
          <w:sz w:val="24"/>
          <w:szCs w:val="24"/>
        </w:rPr>
        <w:t>čime je</w:t>
      </w:r>
      <w:r w:rsidR="00833A10" w:rsidRPr="0041129A">
        <w:rPr>
          <w:rFonts w:ascii="Times New Roman" w:hAnsi="Times New Roman" w:cs="Times New Roman"/>
          <w:sz w:val="24"/>
          <w:szCs w:val="24"/>
        </w:rPr>
        <w:t xml:space="preserve"> realiz</w:t>
      </w:r>
      <w:r w:rsidR="002E073D">
        <w:rPr>
          <w:rFonts w:ascii="Times New Roman" w:hAnsi="Times New Roman" w:cs="Times New Roman"/>
          <w:sz w:val="24"/>
          <w:szCs w:val="24"/>
        </w:rPr>
        <w:t>irano</w:t>
      </w:r>
      <w:r w:rsidR="00833A10" w:rsidRPr="0041129A">
        <w:rPr>
          <w:rFonts w:ascii="Times New Roman" w:hAnsi="Times New Roman" w:cs="Times New Roman"/>
          <w:sz w:val="24"/>
          <w:szCs w:val="24"/>
        </w:rPr>
        <w:t xml:space="preserve"> od </w:t>
      </w:r>
      <w:r w:rsidR="00393A70" w:rsidRPr="0041129A">
        <w:rPr>
          <w:rFonts w:ascii="Times New Roman" w:hAnsi="Times New Roman" w:cs="Times New Roman"/>
          <w:sz w:val="24"/>
          <w:szCs w:val="24"/>
        </w:rPr>
        <w:t>2</w:t>
      </w:r>
      <w:r w:rsidR="002E073D">
        <w:rPr>
          <w:rFonts w:ascii="Times New Roman" w:hAnsi="Times New Roman" w:cs="Times New Roman"/>
          <w:sz w:val="24"/>
          <w:szCs w:val="24"/>
        </w:rPr>
        <w:t>7</w:t>
      </w:r>
      <w:r w:rsidR="00393A70" w:rsidRPr="0041129A">
        <w:rPr>
          <w:rFonts w:ascii="Times New Roman" w:hAnsi="Times New Roman" w:cs="Times New Roman"/>
          <w:sz w:val="24"/>
          <w:szCs w:val="24"/>
        </w:rPr>
        <w:t xml:space="preserve">% </w:t>
      </w:r>
      <w:r w:rsidR="00833A10" w:rsidRPr="0041129A">
        <w:rPr>
          <w:rFonts w:ascii="Times New Roman" w:hAnsi="Times New Roman" w:cs="Times New Roman"/>
          <w:sz w:val="24"/>
          <w:szCs w:val="24"/>
        </w:rPr>
        <w:t>Plan</w:t>
      </w:r>
      <w:r w:rsidR="00EC7E95" w:rsidRPr="0041129A">
        <w:rPr>
          <w:rFonts w:ascii="Times New Roman" w:hAnsi="Times New Roman" w:cs="Times New Roman"/>
          <w:sz w:val="24"/>
          <w:szCs w:val="24"/>
        </w:rPr>
        <w:t>a za 20</w:t>
      </w:r>
      <w:r w:rsidR="00A80022" w:rsidRPr="0041129A">
        <w:rPr>
          <w:rFonts w:ascii="Times New Roman" w:hAnsi="Times New Roman" w:cs="Times New Roman"/>
          <w:sz w:val="24"/>
          <w:szCs w:val="24"/>
        </w:rPr>
        <w:t>2</w:t>
      </w:r>
      <w:r w:rsidR="002E073D">
        <w:rPr>
          <w:rFonts w:ascii="Times New Roman" w:hAnsi="Times New Roman" w:cs="Times New Roman"/>
          <w:sz w:val="24"/>
          <w:szCs w:val="24"/>
        </w:rPr>
        <w:t>5</w:t>
      </w:r>
      <w:r w:rsidR="00EC7E95" w:rsidRPr="0041129A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5847A216" w14:textId="420B50AE" w:rsidR="00C552F2" w:rsidRDefault="00C552F2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2F568" w14:textId="147847C5" w:rsidR="00C552F2" w:rsidRDefault="00C552F2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poreznih prihoda prikazana je slijedećim grafikonom</w:t>
      </w:r>
      <w:r w:rsidR="00AD0276">
        <w:rPr>
          <w:rFonts w:ascii="Times New Roman" w:hAnsi="Times New Roman" w:cs="Times New Roman"/>
          <w:sz w:val="24"/>
          <w:szCs w:val="24"/>
        </w:rPr>
        <w:t>.</w:t>
      </w:r>
    </w:p>
    <w:p w14:paraId="6565FFC5" w14:textId="1512130B" w:rsidR="00AD0276" w:rsidRDefault="00AD0276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144BD" w14:textId="341EF8F0" w:rsidR="00AD0276" w:rsidRDefault="00AD0276" w:rsidP="00C60F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Grafikon 1. POREZNI PRIHODI</w:t>
      </w:r>
    </w:p>
    <w:p w14:paraId="2340E3B5" w14:textId="77777777" w:rsidR="006A010C" w:rsidRPr="00AD0276" w:rsidRDefault="006A010C" w:rsidP="00C60F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0184F" w14:textId="459AE489" w:rsidR="00C552F2" w:rsidRDefault="007E0886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3C823B" wp14:editId="6F0D6BF3">
            <wp:extent cx="5772150" cy="3362325"/>
            <wp:effectExtent l="0" t="0" r="0" b="9525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FC0300A-0747-4D3D-B119-35CF4CAD55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B14814" w14:textId="77777777" w:rsidR="00A00160" w:rsidRPr="0041129A" w:rsidRDefault="00A00160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6C194" w14:textId="2E3AE3DC" w:rsidR="00E16A6C" w:rsidRPr="00D03F0B" w:rsidRDefault="00A32EC2" w:rsidP="00833A10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A6C" w:rsidRPr="00D03F0B">
        <w:rPr>
          <w:rFonts w:ascii="Times New Roman" w:hAnsi="Times New Roman" w:cs="Times New Roman"/>
          <w:b/>
          <w:sz w:val="24"/>
          <w:szCs w:val="24"/>
        </w:rPr>
        <w:t>PO</w:t>
      </w:r>
      <w:r w:rsidR="00C60F67" w:rsidRPr="00D03F0B">
        <w:rPr>
          <w:rFonts w:ascii="Times New Roman" w:hAnsi="Times New Roman" w:cs="Times New Roman"/>
          <w:b/>
          <w:sz w:val="24"/>
          <w:szCs w:val="24"/>
        </w:rPr>
        <w:t>MOĆI OD INOZEMSTVA (DAROVNICE</w:t>
      </w:r>
      <w:r w:rsidR="00D41CF4" w:rsidRPr="00D03F0B">
        <w:rPr>
          <w:rFonts w:ascii="Times New Roman" w:hAnsi="Times New Roman" w:cs="Times New Roman"/>
          <w:b/>
          <w:sz w:val="24"/>
          <w:szCs w:val="24"/>
        </w:rPr>
        <w:t>)</w:t>
      </w:r>
      <w:r w:rsidR="00E16A6C" w:rsidRPr="00D03F0B">
        <w:rPr>
          <w:rFonts w:ascii="Times New Roman" w:hAnsi="Times New Roman" w:cs="Times New Roman"/>
          <w:b/>
          <w:sz w:val="24"/>
          <w:szCs w:val="24"/>
        </w:rPr>
        <w:t xml:space="preserve"> I OD SUBJEKATA UNUTAR OPĆEG PRORAČUNA</w:t>
      </w:r>
    </w:p>
    <w:p w14:paraId="3A8D20B6" w14:textId="77777777" w:rsidR="00796249" w:rsidRPr="00D03F0B" w:rsidRDefault="00796249" w:rsidP="00575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978B8" w14:textId="3366B83E" w:rsidR="0039430C" w:rsidRPr="00D03F0B" w:rsidRDefault="00854129" w:rsidP="0052079E">
      <w:pPr>
        <w:pStyle w:val="Tijeloteksta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F0B">
        <w:rPr>
          <w:rFonts w:ascii="Times New Roman" w:hAnsi="Times New Roman" w:cs="Times New Roman"/>
          <w:sz w:val="24"/>
          <w:szCs w:val="24"/>
        </w:rPr>
        <w:t>Pomoći su planiran</w:t>
      </w:r>
      <w:r w:rsidR="0026588A" w:rsidRPr="00D03F0B">
        <w:rPr>
          <w:rFonts w:ascii="Times New Roman" w:hAnsi="Times New Roman" w:cs="Times New Roman"/>
          <w:sz w:val="24"/>
          <w:szCs w:val="24"/>
        </w:rPr>
        <w:t xml:space="preserve">e u iznosu od </w:t>
      </w:r>
      <w:r w:rsidR="003232D2" w:rsidRPr="00D03F0B">
        <w:rPr>
          <w:rFonts w:ascii="Times New Roman" w:hAnsi="Times New Roman" w:cs="Times New Roman"/>
          <w:sz w:val="24"/>
          <w:szCs w:val="24"/>
        </w:rPr>
        <w:t>1</w:t>
      </w:r>
      <w:r w:rsidR="00C95249">
        <w:rPr>
          <w:rFonts w:ascii="Times New Roman" w:hAnsi="Times New Roman" w:cs="Times New Roman"/>
          <w:sz w:val="24"/>
          <w:szCs w:val="24"/>
        </w:rPr>
        <w:t>2.218.251</w:t>
      </w:r>
      <w:r w:rsidR="00FE0D03" w:rsidRPr="00D03F0B">
        <w:rPr>
          <w:rFonts w:ascii="Times New Roman" w:hAnsi="Times New Roman" w:cs="Times New Roman"/>
          <w:sz w:val="24"/>
          <w:szCs w:val="24"/>
        </w:rPr>
        <w:t xml:space="preserve"> eura</w:t>
      </w:r>
      <w:r w:rsidR="0026588A" w:rsidRPr="00D03F0B">
        <w:rPr>
          <w:rFonts w:ascii="Times New Roman" w:hAnsi="Times New Roman" w:cs="Times New Roman"/>
          <w:sz w:val="24"/>
          <w:szCs w:val="24"/>
        </w:rPr>
        <w:t xml:space="preserve"> a ostvarene </w:t>
      </w:r>
      <w:r w:rsidR="006D1349" w:rsidRPr="00D03F0B">
        <w:rPr>
          <w:rFonts w:ascii="Times New Roman" w:hAnsi="Times New Roman" w:cs="Times New Roman"/>
          <w:sz w:val="24"/>
          <w:szCs w:val="24"/>
        </w:rPr>
        <w:t>u</w:t>
      </w:r>
      <w:r w:rsidR="0095037C" w:rsidRPr="00D03F0B">
        <w:rPr>
          <w:rFonts w:ascii="Times New Roman" w:hAnsi="Times New Roman" w:cs="Times New Roman"/>
          <w:sz w:val="24"/>
          <w:szCs w:val="24"/>
        </w:rPr>
        <w:t xml:space="preserve"> visini od</w:t>
      </w:r>
      <w:r w:rsidR="001947E4" w:rsidRPr="00D03F0B">
        <w:rPr>
          <w:rFonts w:ascii="Times New Roman" w:hAnsi="Times New Roman" w:cs="Times New Roman"/>
          <w:sz w:val="24"/>
          <w:szCs w:val="24"/>
        </w:rPr>
        <w:t xml:space="preserve"> </w:t>
      </w:r>
      <w:r w:rsidR="00C95249">
        <w:rPr>
          <w:rFonts w:ascii="Times New Roman" w:hAnsi="Times New Roman" w:cs="Times New Roman"/>
          <w:sz w:val="24"/>
          <w:szCs w:val="24"/>
        </w:rPr>
        <w:t>5.085.072</w:t>
      </w:r>
      <w:r w:rsidR="00FE0D03" w:rsidRPr="00D03F0B">
        <w:rPr>
          <w:rFonts w:ascii="Times New Roman" w:hAnsi="Times New Roman" w:cs="Times New Roman"/>
          <w:sz w:val="24"/>
          <w:szCs w:val="24"/>
        </w:rPr>
        <w:t xml:space="preserve"> eura</w:t>
      </w:r>
      <w:r w:rsidR="0095037C" w:rsidRPr="00D03F0B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C95249">
        <w:rPr>
          <w:rFonts w:ascii="Times New Roman" w:hAnsi="Times New Roman" w:cs="Times New Roman"/>
          <w:sz w:val="24"/>
          <w:szCs w:val="24"/>
        </w:rPr>
        <w:t>42</w:t>
      </w:r>
      <w:r w:rsidR="006D1349" w:rsidRPr="00D03F0B">
        <w:rPr>
          <w:rFonts w:ascii="Times New Roman" w:hAnsi="Times New Roman" w:cs="Times New Roman"/>
          <w:sz w:val="24"/>
          <w:szCs w:val="24"/>
        </w:rPr>
        <w:t xml:space="preserve">% </w:t>
      </w:r>
      <w:r w:rsidR="0026588A" w:rsidRPr="00D03F0B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DB76BE" w:rsidRPr="00D03F0B">
        <w:rPr>
          <w:rFonts w:ascii="Times New Roman" w:hAnsi="Times New Roman" w:cs="Times New Roman"/>
          <w:sz w:val="24"/>
          <w:szCs w:val="24"/>
        </w:rPr>
        <w:t>P</w:t>
      </w:r>
      <w:r w:rsidR="0026588A" w:rsidRPr="00D03F0B">
        <w:rPr>
          <w:rFonts w:ascii="Times New Roman" w:hAnsi="Times New Roman" w:cs="Times New Roman"/>
          <w:sz w:val="24"/>
          <w:szCs w:val="24"/>
        </w:rPr>
        <w:t>lana</w:t>
      </w:r>
      <w:r w:rsidR="00170E5F" w:rsidRPr="00D03F0B">
        <w:rPr>
          <w:rFonts w:ascii="Times New Roman" w:hAnsi="Times New Roman" w:cs="Times New Roman"/>
          <w:sz w:val="24"/>
          <w:szCs w:val="24"/>
        </w:rPr>
        <w:t>.</w:t>
      </w:r>
      <w:r w:rsidR="00EF69C8" w:rsidRPr="00D03F0B">
        <w:rPr>
          <w:rFonts w:ascii="Times New Roman" w:hAnsi="Times New Roman" w:cs="Times New Roman"/>
          <w:sz w:val="24"/>
          <w:szCs w:val="24"/>
        </w:rPr>
        <w:t xml:space="preserve"> </w:t>
      </w:r>
      <w:r w:rsidR="00EC7E95" w:rsidRPr="00D03F0B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EF69C8" w:rsidRPr="00D03F0B">
        <w:rPr>
          <w:rFonts w:ascii="Times New Roman" w:hAnsi="Times New Roman" w:cs="Times New Roman"/>
          <w:sz w:val="24"/>
          <w:szCs w:val="24"/>
        </w:rPr>
        <w:t xml:space="preserve"> isto razdoblj</w:t>
      </w:r>
      <w:r w:rsidR="00EC7E95" w:rsidRPr="00D03F0B">
        <w:rPr>
          <w:rFonts w:ascii="Times New Roman" w:hAnsi="Times New Roman" w:cs="Times New Roman"/>
          <w:sz w:val="24"/>
          <w:szCs w:val="24"/>
        </w:rPr>
        <w:t xml:space="preserve">e prethodne godine njihova je realizacija </w:t>
      </w:r>
      <w:r w:rsidR="00E93483" w:rsidRPr="00D03F0B">
        <w:rPr>
          <w:rFonts w:ascii="Times New Roman" w:hAnsi="Times New Roman" w:cs="Times New Roman"/>
          <w:sz w:val="24"/>
          <w:szCs w:val="24"/>
        </w:rPr>
        <w:t>veća</w:t>
      </w:r>
      <w:r w:rsidR="007C2455" w:rsidRPr="00D03F0B">
        <w:rPr>
          <w:rFonts w:ascii="Times New Roman" w:hAnsi="Times New Roman" w:cs="Times New Roman"/>
          <w:sz w:val="24"/>
          <w:szCs w:val="24"/>
        </w:rPr>
        <w:t xml:space="preserve"> za </w:t>
      </w:r>
      <w:r w:rsidR="00C95249">
        <w:rPr>
          <w:rFonts w:ascii="Times New Roman" w:hAnsi="Times New Roman" w:cs="Times New Roman"/>
          <w:sz w:val="24"/>
          <w:szCs w:val="24"/>
        </w:rPr>
        <w:t>8</w:t>
      </w:r>
      <w:r w:rsidR="00E93483" w:rsidRPr="00D03F0B">
        <w:rPr>
          <w:rFonts w:ascii="Times New Roman" w:hAnsi="Times New Roman" w:cs="Times New Roman"/>
          <w:sz w:val="24"/>
          <w:szCs w:val="24"/>
        </w:rPr>
        <w:t>%</w:t>
      </w:r>
      <w:r w:rsidR="0039430C" w:rsidRPr="00D03F0B">
        <w:rPr>
          <w:rFonts w:ascii="Times New Roman" w:hAnsi="Times New Roman" w:cs="Times New Roman"/>
          <w:sz w:val="24"/>
          <w:szCs w:val="24"/>
        </w:rPr>
        <w:t xml:space="preserve">. </w:t>
      </w:r>
      <w:r w:rsidR="00B819F6" w:rsidRPr="00D03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4A360" w14:textId="1927AB8E" w:rsidR="00902602" w:rsidRPr="00B43CEC" w:rsidRDefault="009A33CA" w:rsidP="00902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Navedene prihode</w:t>
      </w:r>
      <w:r w:rsidR="00902602">
        <w:rPr>
          <w:rFonts w:ascii="Times New Roman" w:hAnsi="Times New Roman" w:cs="Times New Roman"/>
          <w:sz w:val="24"/>
          <w:szCs w:val="24"/>
        </w:rPr>
        <w:t xml:space="preserve"> č</w:t>
      </w:r>
      <w:r w:rsidR="00902602" w:rsidRPr="00B43CEC">
        <w:rPr>
          <w:rFonts w:ascii="Times New Roman" w:hAnsi="Times New Roman" w:cs="Times New Roman"/>
          <w:sz w:val="24"/>
          <w:szCs w:val="24"/>
        </w:rPr>
        <w:t xml:space="preserve">ine tekuće i kapitalne pomoći iz proračuna sukladno planovima proračunskih korisnika,  kapitalne pomoći od institucija i tijela EU, pomoći iz državnog proračuna kao tekuće pomoći izravnanja decentraliziranih funkcija (osnovne škole i javna vatrogasna postrojba) i pomoći od ostalih subjekata unutar općeg proračuna. </w:t>
      </w:r>
    </w:p>
    <w:p w14:paraId="795C6FD1" w14:textId="63150064" w:rsidR="00902602" w:rsidRDefault="00902602" w:rsidP="00902602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B43CEC">
        <w:rPr>
          <w:rFonts w:ascii="Times New Roman" w:hAnsi="Times New Roman" w:cs="Times New Roman"/>
          <w:sz w:val="24"/>
          <w:szCs w:val="24"/>
          <w:lang w:val="es-ES"/>
        </w:rPr>
        <w:t>Kako se, u pravilu radi o n</w:t>
      </w:r>
      <w:r>
        <w:rPr>
          <w:rFonts w:ascii="Times New Roman" w:hAnsi="Times New Roman" w:cs="Times New Roman"/>
          <w:sz w:val="24"/>
          <w:szCs w:val="24"/>
          <w:lang w:val="es-ES"/>
        </w:rPr>
        <w:t>amjenskim prihodima, koji su u posebnom dijelu proračuna</w:t>
      </w:r>
      <w:r w:rsidRPr="00B43CEC">
        <w:rPr>
          <w:rFonts w:ascii="Times New Roman" w:hAnsi="Times New Roman" w:cs="Times New Roman"/>
          <w:sz w:val="24"/>
          <w:szCs w:val="24"/>
          <w:lang w:val="es-ES"/>
        </w:rPr>
        <w:t xml:space="preserve"> povezani s namjenskim rashodima, pomoći su uvjetne, odnosno ukoliko se ne ostvare ne realiziraju se ni rashodi. </w:t>
      </w:r>
      <w:r w:rsidRPr="00B307A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                      </w:t>
      </w:r>
    </w:p>
    <w:p w14:paraId="37BCEB5F" w14:textId="21ED345D" w:rsidR="00902602" w:rsidRPr="00F14AB4" w:rsidRDefault="00902602" w:rsidP="00D03F0B">
      <w:pPr>
        <w:jc w:val="both"/>
        <w:rPr>
          <w:rFonts w:ascii="Times New Roman" w:hAnsi="Times New Roman" w:cs="Times New Roman"/>
          <w:sz w:val="24"/>
          <w:szCs w:val="24"/>
        </w:rPr>
      </w:pPr>
      <w:r w:rsidRPr="00F14AB4">
        <w:rPr>
          <w:rFonts w:ascii="Times New Roman" w:hAnsi="Times New Roman" w:cs="Times New Roman"/>
          <w:sz w:val="24"/>
          <w:szCs w:val="24"/>
        </w:rPr>
        <w:t xml:space="preserve">Prihodi od pomoći </w:t>
      </w:r>
      <w:r w:rsidR="00C215AA" w:rsidRPr="00F14AB4">
        <w:rPr>
          <w:rFonts w:ascii="Times New Roman" w:hAnsi="Times New Roman" w:cs="Times New Roman"/>
          <w:sz w:val="24"/>
          <w:szCs w:val="24"/>
        </w:rPr>
        <w:t xml:space="preserve">iz državnog proračuna gradu ostvarene su u visini od 314.742,71 </w:t>
      </w:r>
      <w:proofErr w:type="spellStart"/>
      <w:r w:rsidR="00C215AA" w:rsidRPr="00F14AB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215AA" w:rsidRPr="00F14AB4">
        <w:rPr>
          <w:rFonts w:ascii="Times New Roman" w:hAnsi="Times New Roman" w:cs="Times New Roman"/>
          <w:sz w:val="24"/>
          <w:szCs w:val="24"/>
        </w:rPr>
        <w:t xml:space="preserve">, obuhvaćaju sredstva namijenjena provedbi projekta </w:t>
      </w:r>
      <w:proofErr w:type="spellStart"/>
      <w:r w:rsidR="00C215AA" w:rsidRPr="00F14AB4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="00C215AA" w:rsidRPr="00F14AB4">
        <w:rPr>
          <w:rFonts w:ascii="Times New Roman" w:hAnsi="Times New Roman" w:cs="Times New Roman"/>
          <w:sz w:val="24"/>
          <w:szCs w:val="24"/>
        </w:rPr>
        <w:t xml:space="preserve"> torba zajedništva, sredstva namijenjena sufinanciranju školskih obroka te sredstva za fiskalnu održivost dječjih vrtića. Kroz pomoći temeljem prijenosa EU sredstva ostvareno je 289.040,17 eura namijenjenih izgradnji Dječjeg vrtića u Varvarima temeljem Ugovora </w:t>
      </w:r>
      <w:r w:rsidR="00F14AB4" w:rsidRPr="00F14AB4">
        <w:rPr>
          <w:rFonts w:ascii="Times New Roman" w:hAnsi="Times New Roman" w:cs="Times New Roman"/>
          <w:sz w:val="24"/>
          <w:szCs w:val="24"/>
        </w:rPr>
        <w:t xml:space="preserve">o dodjeli bespovratnih sredstava za projekte koji se financiraju iz Mehanizma za oporavak i otpornost sklopljenog s </w:t>
      </w:r>
      <w:r w:rsidR="00C215AA" w:rsidRPr="00F14AB4">
        <w:rPr>
          <w:rFonts w:ascii="Times New Roman" w:hAnsi="Times New Roman" w:cs="Times New Roman"/>
          <w:sz w:val="24"/>
          <w:szCs w:val="24"/>
        </w:rPr>
        <w:t xml:space="preserve"> Ministarstvom </w:t>
      </w:r>
      <w:r w:rsidR="00F14AB4" w:rsidRPr="00F14AB4">
        <w:rPr>
          <w:rFonts w:ascii="Times New Roman" w:hAnsi="Times New Roman" w:cs="Times New Roman"/>
          <w:sz w:val="24"/>
          <w:szCs w:val="24"/>
        </w:rPr>
        <w:t>znanosti i obrazovanja.</w:t>
      </w:r>
      <w:r w:rsidR="00D03F0B" w:rsidRPr="00F14AB4">
        <w:rPr>
          <w:rFonts w:ascii="Times New Roman" w:hAnsi="Times New Roman" w:cs="Times New Roman"/>
          <w:sz w:val="24"/>
          <w:szCs w:val="24"/>
        </w:rPr>
        <w:t xml:space="preserve"> Pomoći izravnanja za decentralizirane funkcije ostvarene su u iznosu od 1</w:t>
      </w:r>
      <w:r w:rsidR="0098150C" w:rsidRPr="00F14AB4">
        <w:rPr>
          <w:rFonts w:ascii="Times New Roman" w:hAnsi="Times New Roman" w:cs="Times New Roman"/>
          <w:sz w:val="24"/>
          <w:szCs w:val="24"/>
        </w:rPr>
        <w:t>7</w:t>
      </w:r>
      <w:r w:rsidR="00F14AB4" w:rsidRPr="00F14AB4">
        <w:rPr>
          <w:rFonts w:ascii="Times New Roman" w:hAnsi="Times New Roman" w:cs="Times New Roman"/>
          <w:sz w:val="24"/>
          <w:szCs w:val="24"/>
        </w:rPr>
        <w:t>4</w:t>
      </w:r>
      <w:r w:rsidR="0098150C" w:rsidRPr="00F14AB4">
        <w:rPr>
          <w:rFonts w:ascii="Times New Roman" w:hAnsi="Times New Roman" w:cs="Times New Roman"/>
          <w:sz w:val="24"/>
          <w:szCs w:val="24"/>
        </w:rPr>
        <w:t>.</w:t>
      </w:r>
      <w:r w:rsidR="00F14AB4" w:rsidRPr="00F14AB4">
        <w:rPr>
          <w:rFonts w:ascii="Times New Roman" w:hAnsi="Times New Roman" w:cs="Times New Roman"/>
          <w:sz w:val="24"/>
          <w:szCs w:val="24"/>
        </w:rPr>
        <w:t>071,37</w:t>
      </w:r>
      <w:r w:rsidR="00D03F0B" w:rsidRPr="00F14AB4">
        <w:rPr>
          <w:rFonts w:ascii="Times New Roman" w:hAnsi="Times New Roman" w:cs="Times New Roman"/>
          <w:sz w:val="24"/>
          <w:szCs w:val="24"/>
        </w:rPr>
        <w:t xml:space="preserve"> </w:t>
      </w:r>
      <w:r w:rsidRPr="00F14AB4">
        <w:rPr>
          <w:rFonts w:ascii="Times New Roman" w:hAnsi="Times New Roman" w:cs="Times New Roman"/>
          <w:sz w:val="24"/>
          <w:szCs w:val="24"/>
        </w:rPr>
        <w:t xml:space="preserve"> </w:t>
      </w:r>
      <w:r w:rsidR="00D03F0B" w:rsidRPr="00F14AB4">
        <w:rPr>
          <w:rFonts w:ascii="Times New Roman" w:hAnsi="Times New Roman" w:cs="Times New Roman"/>
          <w:sz w:val="24"/>
          <w:szCs w:val="24"/>
        </w:rPr>
        <w:t>a namijenjene su osnovnom školstvu i vatrogastvu.</w:t>
      </w:r>
    </w:p>
    <w:p w14:paraId="331929D5" w14:textId="57895BCD" w:rsidR="00902602" w:rsidRPr="00F14AB4" w:rsidRDefault="00D03F0B" w:rsidP="00C40125">
      <w:pPr>
        <w:jc w:val="both"/>
        <w:rPr>
          <w:rFonts w:ascii="Times New Roman" w:hAnsi="Times New Roman" w:cs="Times New Roman"/>
          <w:sz w:val="24"/>
          <w:szCs w:val="24"/>
        </w:rPr>
      </w:pPr>
      <w:r w:rsidRPr="00F14AB4">
        <w:rPr>
          <w:rFonts w:ascii="Times New Roman" w:hAnsi="Times New Roman" w:cs="Times New Roman"/>
          <w:sz w:val="24"/>
          <w:szCs w:val="24"/>
        </w:rPr>
        <w:t xml:space="preserve">Najveći udio od </w:t>
      </w:r>
      <w:r w:rsidR="00F14AB4" w:rsidRPr="00F14AB4">
        <w:rPr>
          <w:rFonts w:ascii="Times New Roman" w:hAnsi="Times New Roman" w:cs="Times New Roman"/>
          <w:sz w:val="24"/>
          <w:szCs w:val="24"/>
        </w:rPr>
        <w:t>63</w:t>
      </w:r>
      <w:r w:rsidRPr="00F14AB4">
        <w:rPr>
          <w:rFonts w:ascii="Times New Roman" w:hAnsi="Times New Roman" w:cs="Times New Roman"/>
          <w:sz w:val="24"/>
          <w:szCs w:val="24"/>
        </w:rPr>
        <w:t>% u ukupnim pomoćima imaju sredstva namijenjena proračunskom korisnicima koja se isplaćuju iz proračuna koji im nije nadležan,  a odnose se na plaće zaposlenih u osnovnim školama.</w:t>
      </w:r>
    </w:p>
    <w:p w14:paraId="407D155E" w14:textId="6A3A8BE0" w:rsidR="00726F4D" w:rsidRPr="00783749" w:rsidRDefault="001963C8" w:rsidP="00062A41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83749">
        <w:rPr>
          <w:rFonts w:ascii="Times New Roman" w:hAnsi="Times New Roman" w:cs="Times New Roman"/>
          <w:b/>
          <w:sz w:val="24"/>
          <w:szCs w:val="24"/>
        </w:rPr>
        <w:t>PRIHODI OD IMOVINE</w:t>
      </w:r>
    </w:p>
    <w:p w14:paraId="1720E31F" w14:textId="42A6B303" w:rsidR="00EC7B4C" w:rsidRPr="00783749" w:rsidRDefault="001963C8" w:rsidP="00C60F6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749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 w:rsidR="00D03F0B" w:rsidRPr="00783749">
        <w:rPr>
          <w:rFonts w:ascii="Times New Roman" w:hAnsi="Times New Roman" w:cs="Times New Roman"/>
          <w:sz w:val="24"/>
          <w:szCs w:val="24"/>
        </w:rPr>
        <w:t>2.</w:t>
      </w:r>
      <w:r w:rsidR="00903CD6">
        <w:rPr>
          <w:rFonts w:ascii="Times New Roman" w:hAnsi="Times New Roman" w:cs="Times New Roman"/>
          <w:sz w:val="24"/>
          <w:szCs w:val="24"/>
        </w:rPr>
        <w:t>034.315</w:t>
      </w:r>
      <w:r w:rsidR="00BC18D5" w:rsidRPr="00783749">
        <w:rPr>
          <w:rFonts w:ascii="Times New Roman" w:hAnsi="Times New Roman" w:cs="Times New Roman"/>
          <w:sz w:val="24"/>
          <w:szCs w:val="24"/>
        </w:rPr>
        <w:t xml:space="preserve"> eura </w:t>
      </w:r>
      <w:r w:rsidRPr="00783749">
        <w:rPr>
          <w:rFonts w:ascii="Times New Roman" w:hAnsi="Times New Roman" w:cs="Times New Roman"/>
          <w:sz w:val="24"/>
          <w:szCs w:val="24"/>
        </w:rPr>
        <w:t xml:space="preserve">a </w:t>
      </w:r>
      <w:r w:rsidR="00062A41" w:rsidRPr="00783749">
        <w:rPr>
          <w:rFonts w:ascii="Times New Roman" w:hAnsi="Times New Roman" w:cs="Times New Roman"/>
          <w:sz w:val="24"/>
          <w:szCs w:val="24"/>
        </w:rPr>
        <w:t>do 30.06.20</w:t>
      </w:r>
      <w:r w:rsidR="00E65089" w:rsidRPr="00783749">
        <w:rPr>
          <w:rFonts w:ascii="Times New Roman" w:hAnsi="Times New Roman" w:cs="Times New Roman"/>
          <w:sz w:val="24"/>
          <w:szCs w:val="24"/>
        </w:rPr>
        <w:t>2</w:t>
      </w:r>
      <w:r w:rsidR="00903CD6">
        <w:rPr>
          <w:rFonts w:ascii="Times New Roman" w:hAnsi="Times New Roman" w:cs="Times New Roman"/>
          <w:sz w:val="24"/>
          <w:szCs w:val="24"/>
        </w:rPr>
        <w:t>5</w:t>
      </w:r>
      <w:r w:rsidR="00062A41" w:rsidRPr="00783749">
        <w:rPr>
          <w:rFonts w:ascii="Times New Roman" w:hAnsi="Times New Roman" w:cs="Times New Roman"/>
          <w:sz w:val="24"/>
          <w:szCs w:val="24"/>
        </w:rPr>
        <w:t xml:space="preserve">. godine ostvareni su u visini od </w:t>
      </w:r>
      <w:r w:rsidR="00903CD6">
        <w:rPr>
          <w:rFonts w:ascii="Times New Roman" w:hAnsi="Times New Roman" w:cs="Times New Roman"/>
          <w:sz w:val="24"/>
          <w:szCs w:val="24"/>
        </w:rPr>
        <w:t>805.698</w:t>
      </w:r>
      <w:r w:rsidR="00BC18D5" w:rsidRPr="00783749">
        <w:rPr>
          <w:rFonts w:ascii="Times New Roman" w:hAnsi="Times New Roman" w:cs="Times New Roman"/>
          <w:sz w:val="24"/>
          <w:szCs w:val="24"/>
        </w:rPr>
        <w:t xml:space="preserve"> eura</w:t>
      </w:r>
      <w:r w:rsidR="00E65089" w:rsidRPr="00783749">
        <w:rPr>
          <w:rFonts w:ascii="Times New Roman" w:hAnsi="Times New Roman" w:cs="Times New Roman"/>
          <w:sz w:val="24"/>
          <w:szCs w:val="24"/>
        </w:rPr>
        <w:t xml:space="preserve"> </w:t>
      </w:r>
      <w:r w:rsidR="00062A41" w:rsidRPr="00783749">
        <w:rPr>
          <w:rFonts w:ascii="Times New Roman" w:hAnsi="Times New Roman" w:cs="Times New Roman"/>
          <w:sz w:val="24"/>
          <w:szCs w:val="24"/>
        </w:rPr>
        <w:t xml:space="preserve">čime je realizirano </w:t>
      </w:r>
      <w:r w:rsidR="00903CD6">
        <w:rPr>
          <w:rFonts w:ascii="Times New Roman" w:hAnsi="Times New Roman" w:cs="Times New Roman"/>
          <w:sz w:val="24"/>
          <w:szCs w:val="24"/>
        </w:rPr>
        <w:t>40</w:t>
      </w:r>
      <w:r w:rsidR="00062A41" w:rsidRPr="00783749">
        <w:rPr>
          <w:rFonts w:ascii="Times New Roman" w:hAnsi="Times New Roman" w:cs="Times New Roman"/>
          <w:sz w:val="24"/>
          <w:szCs w:val="24"/>
        </w:rPr>
        <w:t xml:space="preserve">% Plana. U odnosu na prethodno izvještajno razdoblje iskazani su indeksom </w:t>
      </w:r>
      <w:r w:rsidR="00903CD6">
        <w:rPr>
          <w:rFonts w:ascii="Times New Roman" w:hAnsi="Times New Roman" w:cs="Times New Roman"/>
          <w:sz w:val="24"/>
          <w:szCs w:val="24"/>
        </w:rPr>
        <w:t>183</w:t>
      </w:r>
      <w:r w:rsidR="00754AF2" w:rsidRPr="00783749">
        <w:rPr>
          <w:rFonts w:ascii="Times New Roman" w:hAnsi="Times New Roman" w:cs="Times New Roman"/>
          <w:sz w:val="24"/>
          <w:szCs w:val="24"/>
        </w:rPr>
        <w:t>.</w:t>
      </w:r>
      <w:r w:rsidR="00EC7B4C" w:rsidRPr="00783749">
        <w:rPr>
          <w:rFonts w:ascii="Times New Roman" w:hAnsi="Times New Roman" w:cs="Times New Roman"/>
          <w:sz w:val="24"/>
          <w:szCs w:val="24"/>
        </w:rPr>
        <w:t xml:space="preserve"> </w:t>
      </w:r>
      <w:r w:rsidR="0069284C" w:rsidRPr="00783749">
        <w:rPr>
          <w:rFonts w:ascii="Times New Roman" w:hAnsi="Times New Roman" w:cs="Times New Roman"/>
          <w:sz w:val="24"/>
          <w:szCs w:val="24"/>
        </w:rPr>
        <w:t xml:space="preserve">Prihodi od financijske imovine ostvareni su u iznosu od </w:t>
      </w:r>
      <w:r w:rsidR="00D03F0B" w:rsidRPr="00783749">
        <w:rPr>
          <w:rFonts w:ascii="Times New Roman" w:hAnsi="Times New Roman" w:cs="Times New Roman"/>
          <w:sz w:val="24"/>
          <w:szCs w:val="24"/>
        </w:rPr>
        <w:t>13</w:t>
      </w:r>
      <w:r w:rsidR="00903CD6">
        <w:rPr>
          <w:rFonts w:ascii="Times New Roman" w:hAnsi="Times New Roman" w:cs="Times New Roman"/>
          <w:sz w:val="24"/>
          <w:szCs w:val="24"/>
        </w:rPr>
        <w:t>3</w:t>
      </w:r>
      <w:r w:rsidR="00D03F0B" w:rsidRPr="00783749">
        <w:rPr>
          <w:rFonts w:ascii="Times New Roman" w:hAnsi="Times New Roman" w:cs="Times New Roman"/>
          <w:sz w:val="24"/>
          <w:szCs w:val="24"/>
        </w:rPr>
        <w:t>.</w:t>
      </w:r>
      <w:r w:rsidR="00903CD6">
        <w:rPr>
          <w:rFonts w:ascii="Times New Roman" w:hAnsi="Times New Roman" w:cs="Times New Roman"/>
          <w:sz w:val="24"/>
          <w:szCs w:val="24"/>
        </w:rPr>
        <w:t>072</w:t>
      </w:r>
      <w:r w:rsidR="00BC18D5" w:rsidRPr="00783749">
        <w:rPr>
          <w:rFonts w:ascii="Times New Roman" w:hAnsi="Times New Roman" w:cs="Times New Roman"/>
          <w:sz w:val="24"/>
          <w:szCs w:val="24"/>
        </w:rPr>
        <w:t xml:space="preserve"> eura</w:t>
      </w:r>
      <w:r w:rsidR="0069284C" w:rsidRPr="00783749">
        <w:rPr>
          <w:rFonts w:ascii="Times New Roman" w:hAnsi="Times New Roman" w:cs="Times New Roman"/>
          <w:sz w:val="24"/>
          <w:szCs w:val="24"/>
        </w:rPr>
        <w:t xml:space="preserve"> a odnose se </w:t>
      </w:r>
      <w:r w:rsidR="001947E4" w:rsidRPr="00783749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="0069284C" w:rsidRPr="00783749">
        <w:rPr>
          <w:rFonts w:ascii="Times New Roman" w:hAnsi="Times New Roman" w:cs="Times New Roman"/>
          <w:sz w:val="24"/>
          <w:szCs w:val="24"/>
        </w:rPr>
        <w:t xml:space="preserve">na prihode od </w:t>
      </w:r>
      <w:r w:rsidR="00EC7B4C" w:rsidRPr="00783749">
        <w:rPr>
          <w:rFonts w:ascii="Times New Roman" w:hAnsi="Times New Roman" w:cs="Times New Roman"/>
          <w:sz w:val="24"/>
          <w:szCs w:val="24"/>
        </w:rPr>
        <w:t xml:space="preserve">kamata </w:t>
      </w:r>
      <w:r w:rsidR="0059730B" w:rsidRPr="00783749">
        <w:rPr>
          <w:rFonts w:ascii="Times New Roman" w:hAnsi="Times New Roman" w:cs="Times New Roman"/>
          <w:sz w:val="24"/>
          <w:szCs w:val="24"/>
        </w:rPr>
        <w:t xml:space="preserve">na  oročena sredstva i depozite po viđenju i prihode od zateznih kamata </w:t>
      </w:r>
      <w:r w:rsidR="00EC7B4C" w:rsidRPr="00783749">
        <w:rPr>
          <w:rFonts w:ascii="Times New Roman" w:hAnsi="Times New Roman" w:cs="Times New Roman"/>
          <w:sz w:val="24"/>
          <w:szCs w:val="24"/>
        </w:rPr>
        <w:t>koje se obračunavaju</w:t>
      </w:r>
      <w:r w:rsidR="00D73EC7" w:rsidRPr="00783749">
        <w:rPr>
          <w:rFonts w:ascii="Times New Roman" w:hAnsi="Times New Roman" w:cs="Times New Roman"/>
          <w:sz w:val="24"/>
          <w:szCs w:val="24"/>
        </w:rPr>
        <w:t xml:space="preserve"> na dospjela potraživanja Grada</w:t>
      </w:r>
      <w:r w:rsidR="001947E4" w:rsidRPr="00783749">
        <w:rPr>
          <w:rFonts w:ascii="Times New Roman" w:hAnsi="Times New Roman" w:cs="Times New Roman"/>
          <w:sz w:val="24"/>
          <w:szCs w:val="24"/>
        </w:rPr>
        <w:t>.</w:t>
      </w:r>
    </w:p>
    <w:p w14:paraId="299660B1" w14:textId="1C403391" w:rsidR="00AD0276" w:rsidRDefault="00EC7B4C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83749">
        <w:rPr>
          <w:rFonts w:ascii="Times New Roman" w:hAnsi="Times New Roman" w:cs="Times New Roman"/>
          <w:sz w:val="24"/>
          <w:szCs w:val="24"/>
        </w:rPr>
        <w:t>Prihodi od nefinancijske imovine re</w:t>
      </w:r>
      <w:r w:rsidR="00B27BD6" w:rsidRPr="00783749">
        <w:rPr>
          <w:rFonts w:ascii="Times New Roman" w:hAnsi="Times New Roman" w:cs="Times New Roman"/>
          <w:sz w:val="24"/>
          <w:szCs w:val="24"/>
        </w:rPr>
        <w:t xml:space="preserve">alizirani su u iznosu od </w:t>
      </w:r>
      <w:r w:rsidR="00903CD6">
        <w:rPr>
          <w:rFonts w:ascii="Times New Roman" w:hAnsi="Times New Roman" w:cs="Times New Roman"/>
          <w:sz w:val="24"/>
          <w:szCs w:val="24"/>
        </w:rPr>
        <w:t>672.626</w:t>
      </w:r>
      <w:r w:rsidR="0059730B" w:rsidRPr="00783749">
        <w:rPr>
          <w:rFonts w:ascii="Times New Roman" w:hAnsi="Times New Roman" w:cs="Times New Roman"/>
          <w:sz w:val="24"/>
          <w:szCs w:val="24"/>
        </w:rPr>
        <w:t xml:space="preserve"> </w:t>
      </w:r>
      <w:r w:rsidR="00BC18D5" w:rsidRPr="00783749">
        <w:rPr>
          <w:rFonts w:ascii="Times New Roman" w:hAnsi="Times New Roman" w:cs="Times New Roman"/>
          <w:sz w:val="24"/>
          <w:szCs w:val="24"/>
        </w:rPr>
        <w:t>eura</w:t>
      </w:r>
      <w:r w:rsidR="006E36FD" w:rsidRPr="00783749">
        <w:rPr>
          <w:rFonts w:ascii="Times New Roman" w:hAnsi="Times New Roman" w:cs="Times New Roman"/>
          <w:sz w:val="24"/>
          <w:szCs w:val="24"/>
        </w:rPr>
        <w:t xml:space="preserve">, a njihovu strukturu </w:t>
      </w:r>
      <w:r w:rsidR="00287B1F" w:rsidRPr="00783749">
        <w:rPr>
          <w:rFonts w:ascii="Times New Roman" w:hAnsi="Times New Roman" w:cs="Times New Roman"/>
          <w:sz w:val="24"/>
          <w:szCs w:val="24"/>
          <w:lang w:val="es-ES"/>
        </w:rPr>
        <w:t>čine naknade za koncesije na pomorskom dobru i za uporabu pomorskog dobra</w:t>
      </w:r>
      <w:r w:rsidR="00C60F67" w:rsidRPr="0078374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76B2A" w:rsidRPr="00783749">
        <w:rPr>
          <w:rFonts w:ascii="Times New Roman" w:hAnsi="Times New Roman" w:cs="Times New Roman"/>
          <w:sz w:val="24"/>
          <w:szCs w:val="24"/>
          <w:lang w:val="es-ES"/>
        </w:rPr>
        <w:t>prihodi od spomeničke rente,</w:t>
      </w:r>
      <w:r w:rsidR="00287B1F" w:rsidRPr="00783749">
        <w:rPr>
          <w:rFonts w:ascii="Times New Roman" w:hAnsi="Times New Roman" w:cs="Times New Roman"/>
          <w:sz w:val="24"/>
          <w:szCs w:val="24"/>
          <w:lang w:val="es-ES"/>
        </w:rPr>
        <w:t xml:space="preserve"> prihodi od zakupa i iznajmljivanja imovine Grada</w:t>
      </w:r>
      <w:r w:rsidR="00776B2A" w:rsidRPr="00783749">
        <w:rPr>
          <w:rFonts w:ascii="Times New Roman" w:hAnsi="Times New Roman" w:cs="Times New Roman"/>
          <w:sz w:val="24"/>
          <w:szCs w:val="24"/>
          <w:lang w:val="es-ES"/>
        </w:rPr>
        <w:t xml:space="preserve"> te ostali pr</w:t>
      </w:r>
      <w:r w:rsidR="00D73EC7" w:rsidRPr="00783749">
        <w:rPr>
          <w:rFonts w:ascii="Times New Roman" w:hAnsi="Times New Roman" w:cs="Times New Roman"/>
          <w:sz w:val="24"/>
          <w:szCs w:val="24"/>
          <w:lang w:val="es-ES"/>
        </w:rPr>
        <w:t>ihodi od nefinancij</w:t>
      </w:r>
      <w:r w:rsidR="00776B2A" w:rsidRPr="00783749">
        <w:rPr>
          <w:rFonts w:ascii="Times New Roman" w:hAnsi="Times New Roman" w:cs="Times New Roman"/>
          <w:sz w:val="24"/>
          <w:szCs w:val="24"/>
          <w:lang w:val="es-ES"/>
        </w:rPr>
        <w:t>ske imovine koje čini naknada za zadržavanje neza</w:t>
      </w:r>
      <w:r w:rsidR="00FA2CCC" w:rsidRPr="00783749">
        <w:rPr>
          <w:rFonts w:ascii="Times New Roman" w:hAnsi="Times New Roman" w:cs="Times New Roman"/>
          <w:sz w:val="24"/>
          <w:szCs w:val="24"/>
          <w:lang w:val="es-ES"/>
        </w:rPr>
        <w:t>konito izgrađenih zgrada u pros</w:t>
      </w:r>
      <w:r w:rsidR="00D73EC7" w:rsidRPr="00783749">
        <w:rPr>
          <w:rFonts w:ascii="Times New Roman" w:hAnsi="Times New Roman" w:cs="Times New Roman"/>
          <w:sz w:val="24"/>
          <w:szCs w:val="24"/>
          <w:lang w:val="es-ES"/>
        </w:rPr>
        <w:t>toru</w:t>
      </w:r>
      <w:r w:rsidR="00783749" w:rsidRPr="00783749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r w:rsidR="0059730B" w:rsidRPr="00783749">
        <w:rPr>
          <w:rFonts w:ascii="Times New Roman" w:hAnsi="Times New Roman" w:cs="Times New Roman"/>
          <w:sz w:val="24"/>
          <w:szCs w:val="24"/>
          <w:lang w:val="es-ES"/>
        </w:rPr>
        <w:t xml:space="preserve">naknada za </w:t>
      </w:r>
      <w:r w:rsidR="00783749" w:rsidRPr="00783749">
        <w:rPr>
          <w:rFonts w:ascii="Times New Roman" w:hAnsi="Times New Roman" w:cs="Times New Roman"/>
          <w:sz w:val="24"/>
          <w:szCs w:val="24"/>
          <w:lang w:val="es-ES"/>
        </w:rPr>
        <w:t>eksploataciju mineralnih sirovina.</w:t>
      </w:r>
    </w:p>
    <w:p w14:paraId="79B7030E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8EA505B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B3453C9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307A2D7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99AD805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A450FC5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FAA7FAE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BE22154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E545F93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4353A65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D0AF529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4CE037C" w14:textId="77777777" w:rsidR="009A33CA" w:rsidRDefault="009A33C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12FAC3C" w14:textId="086C10D2" w:rsidR="00AD0276" w:rsidRDefault="00AD0276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Grafikon 2. PRIHODI OD IMOVINE</w:t>
      </w:r>
    </w:p>
    <w:p w14:paraId="1F9B9D81" w14:textId="77777777" w:rsidR="0033308D" w:rsidRPr="00AD0276" w:rsidRDefault="0033308D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D7A4935" w14:textId="623E3F92" w:rsidR="00783749" w:rsidRDefault="0033308D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5D4DF833" wp14:editId="3A67A6A3">
            <wp:extent cx="5181600" cy="2362200"/>
            <wp:effectExtent l="0" t="0" r="0" b="0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2BD8DE31-B7DF-4C3A-B109-A4B05C79EC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FF7C9D" w14:textId="7484CE42" w:rsidR="009F2546" w:rsidRPr="009F2546" w:rsidRDefault="009F2546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CE05B17" w14:textId="2A3F20AC" w:rsidR="00233643" w:rsidRPr="00E67147" w:rsidRDefault="00267D17" w:rsidP="00287B1F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3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84C" w:rsidRPr="00E67147">
        <w:rPr>
          <w:rFonts w:ascii="Times New Roman" w:hAnsi="Times New Roman" w:cs="Times New Roman"/>
          <w:b/>
          <w:sz w:val="24"/>
          <w:szCs w:val="24"/>
        </w:rPr>
        <w:t>PRIHODI OD UPRAVNIH I ADMINISTRATIVNIH PRISTOJBI, PRISTOJBI PO POSEBN</w:t>
      </w:r>
      <w:r w:rsidR="00BC18D5" w:rsidRPr="00E67147">
        <w:rPr>
          <w:rFonts w:ascii="Times New Roman" w:hAnsi="Times New Roman" w:cs="Times New Roman"/>
          <w:b/>
          <w:sz w:val="24"/>
          <w:szCs w:val="24"/>
        </w:rPr>
        <w:t>I</w:t>
      </w:r>
      <w:r w:rsidR="0069284C" w:rsidRPr="00E67147">
        <w:rPr>
          <w:rFonts w:ascii="Times New Roman" w:hAnsi="Times New Roman" w:cs="Times New Roman"/>
          <w:b/>
          <w:sz w:val="24"/>
          <w:szCs w:val="24"/>
        </w:rPr>
        <w:t>M PROPIS</w:t>
      </w:r>
      <w:r w:rsidR="00BC18D5" w:rsidRPr="00E67147">
        <w:rPr>
          <w:rFonts w:ascii="Times New Roman" w:hAnsi="Times New Roman" w:cs="Times New Roman"/>
          <w:b/>
          <w:sz w:val="24"/>
          <w:szCs w:val="24"/>
        </w:rPr>
        <w:t>IMA</w:t>
      </w:r>
      <w:r w:rsidR="00B60A0F" w:rsidRPr="00E67147">
        <w:rPr>
          <w:rFonts w:ascii="Times New Roman" w:hAnsi="Times New Roman" w:cs="Times New Roman"/>
          <w:b/>
          <w:sz w:val="24"/>
          <w:szCs w:val="24"/>
        </w:rPr>
        <w:t xml:space="preserve"> I NAKNADE</w:t>
      </w:r>
    </w:p>
    <w:p w14:paraId="61E024D7" w14:textId="3C994075" w:rsidR="0069284C" w:rsidRPr="00B307AD" w:rsidRDefault="0068545E" w:rsidP="00C60F67">
      <w:pPr>
        <w:pStyle w:val="Bezproreda"/>
        <w:spacing w:line="276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FE3B4D">
        <w:rPr>
          <w:rFonts w:ascii="Times New Roman" w:hAnsi="Times New Roman" w:cs="Times New Roman"/>
          <w:sz w:val="24"/>
          <w:szCs w:val="24"/>
        </w:rPr>
        <w:t xml:space="preserve">Prihodi </w:t>
      </w:r>
      <w:r w:rsidR="001947E4" w:rsidRPr="00FE3B4D">
        <w:rPr>
          <w:rFonts w:ascii="Times New Roman" w:hAnsi="Times New Roman" w:cs="Times New Roman"/>
          <w:sz w:val="24"/>
          <w:szCs w:val="24"/>
        </w:rPr>
        <w:t xml:space="preserve">po posebnim propisima </w:t>
      </w:r>
      <w:r w:rsidR="00B60A0F" w:rsidRPr="00FE3B4D">
        <w:rPr>
          <w:rFonts w:ascii="Times New Roman" w:hAnsi="Times New Roman" w:cs="Times New Roman"/>
          <w:sz w:val="24"/>
          <w:szCs w:val="24"/>
        </w:rPr>
        <w:t xml:space="preserve">realizirani </w:t>
      </w:r>
      <w:r w:rsidR="001947E4" w:rsidRPr="00FE3B4D">
        <w:rPr>
          <w:rFonts w:ascii="Times New Roman" w:hAnsi="Times New Roman" w:cs="Times New Roman"/>
          <w:sz w:val="24"/>
          <w:szCs w:val="24"/>
        </w:rPr>
        <w:t xml:space="preserve">su </w:t>
      </w:r>
      <w:r w:rsidR="00B60A0F" w:rsidRPr="00FE3B4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C30E25">
        <w:rPr>
          <w:rFonts w:ascii="Times New Roman" w:hAnsi="Times New Roman" w:cs="Times New Roman"/>
          <w:sz w:val="24"/>
          <w:szCs w:val="24"/>
        </w:rPr>
        <w:t>3.452.945</w:t>
      </w:r>
      <w:r w:rsidR="00196E4A">
        <w:rPr>
          <w:rFonts w:ascii="Times New Roman" w:hAnsi="Times New Roman" w:cs="Times New Roman"/>
          <w:sz w:val="24"/>
          <w:szCs w:val="24"/>
        </w:rPr>
        <w:t>,</w:t>
      </w:r>
      <w:r w:rsidR="00C30E25">
        <w:rPr>
          <w:rFonts w:ascii="Times New Roman" w:hAnsi="Times New Roman" w:cs="Times New Roman"/>
          <w:sz w:val="24"/>
          <w:szCs w:val="24"/>
        </w:rPr>
        <w:t>19</w:t>
      </w:r>
      <w:r w:rsidR="00BC1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8D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60A0F" w:rsidRPr="00FE3B4D">
        <w:rPr>
          <w:rFonts w:ascii="Times New Roman" w:hAnsi="Times New Roman" w:cs="Times New Roman"/>
          <w:sz w:val="24"/>
          <w:szCs w:val="24"/>
        </w:rPr>
        <w:t xml:space="preserve">. U odnosu na isto razdoblje prethodne godine </w:t>
      </w:r>
      <w:r w:rsidR="00C30E25">
        <w:rPr>
          <w:rFonts w:ascii="Times New Roman" w:hAnsi="Times New Roman" w:cs="Times New Roman"/>
          <w:sz w:val="24"/>
          <w:szCs w:val="24"/>
        </w:rPr>
        <w:t xml:space="preserve">manji </w:t>
      </w:r>
      <w:r w:rsidR="001C06A1" w:rsidRPr="00FE3B4D">
        <w:rPr>
          <w:rFonts w:ascii="Times New Roman" w:hAnsi="Times New Roman" w:cs="Times New Roman"/>
          <w:sz w:val="24"/>
          <w:szCs w:val="24"/>
        </w:rPr>
        <w:t xml:space="preserve">su </w:t>
      </w:r>
      <w:r w:rsidR="00757933" w:rsidRPr="00FE3B4D">
        <w:rPr>
          <w:rFonts w:ascii="Times New Roman" w:hAnsi="Times New Roman" w:cs="Times New Roman"/>
          <w:sz w:val="24"/>
          <w:szCs w:val="24"/>
        </w:rPr>
        <w:t>za</w:t>
      </w:r>
      <w:r w:rsidR="0030397D" w:rsidRPr="00FE3B4D">
        <w:rPr>
          <w:rFonts w:ascii="Times New Roman" w:hAnsi="Times New Roman" w:cs="Times New Roman"/>
          <w:sz w:val="24"/>
          <w:szCs w:val="24"/>
        </w:rPr>
        <w:t xml:space="preserve"> </w:t>
      </w:r>
      <w:r w:rsidR="00C30E25">
        <w:rPr>
          <w:rFonts w:ascii="Times New Roman" w:hAnsi="Times New Roman" w:cs="Times New Roman"/>
          <w:sz w:val="24"/>
          <w:szCs w:val="24"/>
        </w:rPr>
        <w:t>23</w:t>
      </w:r>
      <w:r w:rsidR="00757933" w:rsidRPr="00FE3B4D">
        <w:rPr>
          <w:rFonts w:ascii="Times New Roman" w:hAnsi="Times New Roman" w:cs="Times New Roman"/>
          <w:sz w:val="24"/>
          <w:szCs w:val="24"/>
        </w:rPr>
        <w:t xml:space="preserve">%, a do 30.06. </w:t>
      </w:r>
      <w:r w:rsidR="00F4102C" w:rsidRPr="00FE3B4D">
        <w:rPr>
          <w:rFonts w:ascii="Times New Roman" w:hAnsi="Times New Roman" w:cs="Times New Roman"/>
          <w:sz w:val="24"/>
          <w:szCs w:val="24"/>
        </w:rPr>
        <w:t xml:space="preserve">realizirano </w:t>
      </w:r>
      <w:r w:rsidR="00757933" w:rsidRPr="00FE3B4D">
        <w:rPr>
          <w:rFonts w:ascii="Times New Roman" w:hAnsi="Times New Roman" w:cs="Times New Roman"/>
          <w:sz w:val="24"/>
          <w:szCs w:val="24"/>
        </w:rPr>
        <w:t>je</w:t>
      </w:r>
      <w:r w:rsidR="00C30E25">
        <w:rPr>
          <w:rFonts w:ascii="Times New Roman" w:hAnsi="Times New Roman" w:cs="Times New Roman"/>
          <w:sz w:val="24"/>
          <w:szCs w:val="24"/>
        </w:rPr>
        <w:t xml:space="preserve"> 33</w:t>
      </w:r>
      <w:r w:rsidR="00045F17" w:rsidRPr="00FE3B4D">
        <w:rPr>
          <w:rFonts w:ascii="Times New Roman" w:hAnsi="Times New Roman" w:cs="Times New Roman"/>
          <w:sz w:val="24"/>
          <w:szCs w:val="24"/>
        </w:rPr>
        <w:t xml:space="preserve">% </w:t>
      </w:r>
      <w:r w:rsidRPr="00FE3B4D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0B6471" w:rsidRPr="00FE3B4D">
        <w:rPr>
          <w:rFonts w:ascii="Times New Roman" w:hAnsi="Times New Roman" w:cs="Times New Roman"/>
          <w:sz w:val="24"/>
          <w:szCs w:val="24"/>
        </w:rPr>
        <w:t>P</w:t>
      </w:r>
      <w:r w:rsidRPr="00FE3B4D">
        <w:rPr>
          <w:rFonts w:ascii="Times New Roman" w:hAnsi="Times New Roman" w:cs="Times New Roman"/>
          <w:sz w:val="24"/>
          <w:szCs w:val="24"/>
        </w:rPr>
        <w:t>lana</w:t>
      </w:r>
      <w:r w:rsidR="008D62D8" w:rsidRPr="00FE3B4D">
        <w:rPr>
          <w:rFonts w:ascii="Times New Roman" w:hAnsi="Times New Roman" w:cs="Times New Roman"/>
          <w:sz w:val="24"/>
          <w:szCs w:val="24"/>
        </w:rPr>
        <w:t>.</w:t>
      </w:r>
    </w:p>
    <w:p w14:paraId="6EF2353A" w14:textId="3E6E853D" w:rsidR="005A1248" w:rsidRPr="00F23A24" w:rsidRDefault="00ED6FDE" w:rsidP="00C60F6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C4">
        <w:rPr>
          <w:rFonts w:ascii="Times New Roman" w:hAnsi="Times New Roman" w:cs="Times New Roman"/>
          <w:sz w:val="24"/>
          <w:szCs w:val="24"/>
        </w:rPr>
        <w:t>Najznačajnij</w:t>
      </w:r>
      <w:r w:rsidR="004234E8" w:rsidRPr="002365C4">
        <w:rPr>
          <w:rFonts w:ascii="Times New Roman" w:hAnsi="Times New Roman" w:cs="Times New Roman"/>
          <w:sz w:val="24"/>
          <w:szCs w:val="24"/>
        </w:rPr>
        <w:t>i</w:t>
      </w:r>
      <w:r w:rsidRPr="002365C4">
        <w:rPr>
          <w:rFonts w:ascii="Times New Roman" w:hAnsi="Times New Roman" w:cs="Times New Roman"/>
          <w:sz w:val="24"/>
          <w:szCs w:val="24"/>
        </w:rPr>
        <w:t xml:space="preserve"> </w:t>
      </w:r>
      <w:r w:rsidR="00BF5E80" w:rsidRPr="002365C4">
        <w:rPr>
          <w:rFonts w:ascii="Times New Roman" w:hAnsi="Times New Roman" w:cs="Times New Roman"/>
          <w:sz w:val="24"/>
          <w:szCs w:val="24"/>
        </w:rPr>
        <w:t xml:space="preserve">gradski prihodi </w:t>
      </w:r>
      <w:r w:rsidR="00757933" w:rsidRPr="002365C4">
        <w:rPr>
          <w:rFonts w:ascii="Times New Roman" w:hAnsi="Times New Roman" w:cs="Times New Roman"/>
          <w:sz w:val="24"/>
          <w:szCs w:val="24"/>
        </w:rPr>
        <w:t xml:space="preserve">za posebne namjene </w:t>
      </w:r>
      <w:r w:rsidR="00BF5E80" w:rsidRPr="002365C4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F4102C" w:rsidRPr="002365C4">
        <w:rPr>
          <w:rFonts w:ascii="Times New Roman" w:hAnsi="Times New Roman" w:cs="Times New Roman"/>
          <w:sz w:val="24"/>
          <w:szCs w:val="24"/>
        </w:rPr>
        <w:t>komunalni doprinos</w:t>
      </w:r>
      <w:r w:rsidR="00AC6EF9" w:rsidRPr="002365C4">
        <w:rPr>
          <w:rFonts w:ascii="Times New Roman" w:hAnsi="Times New Roman" w:cs="Times New Roman"/>
          <w:sz w:val="24"/>
          <w:szCs w:val="24"/>
        </w:rPr>
        <w:t xml:space="preserve"> </w:t>
      </w:r>
      <w:r w:rsidR="00F4102C" w:rsidRPr="002365C4">
        <w:rPr>
          <w:rFonts w:ascii="Times New Roman" w:hAnsi="Times New Roman" w:cs="Times New Roman"/>
          <w:sz w:val="24"/>
          <w:szCs w:val="24"/>
        </w:rPr>
        <w:t xml:space="preserve">i komunalnu naknadu koji su realizirani u iznosu od </w:t>
      </w:r>
      <w:r w:rsidR="00C30E25">
        <w:rPr>
          <w:rFonts w:ascii="Times New Roman" w:hAnsi="Times New Roman" w:cs="Times New Roman"/>
          <w:sz w:val="24"/>
          <w:szCs w:val="24"/>
        </w:rPr>
        <w:t>2.220.301,57</w:t>
      </w:r>
      <w:r w:rsidR="00196E4A">
        <w:rPr>
          <w:rFonts w:ascii="Times New Roman" w:hAnsi="Times New Roman" w:cs="Times New Roman"/>
          <w:sz w:val="24"/>
          <w:szCs w:val="24"/>
        </w:rPr>
        <w:t xml:space="preserve"> </w:t>
      </w:r>
      <w:r w:rsidR="00BC18D5">
        <w:rPr>
          <w:rFonts w:ascii="Times New Roman" w:hAnsi="Times New Roman" w:cs="Times New Roman"/>
          <w:sz w:val="24"/>
          <w:szCs w:val="24"/>
        </w:rPr>
        <w:t>eura</w:t>
      </w:r>
      <w:r w:rsidR="00C30E25">
        <w:rPr>
          <w:rFonts w:ascii="Times New Roman" w:hAnsi="Times New Roman" w:cs="Times New Roman"/>
          <w:sz w:val="24"/>
          <w:szCs w:val="24"/>
        </w:rPr>
        <w:t>, čime je ostvareno 31% Plana za 2025. godinu.</w:t>
      </w:r>
      <w:r w:rsidR="00F4102C" w:rsidRPr="002365C4">
        <w:rPr>
          <w:rFonts w:ascii="Times New Roman" w:hAnsi="Times New Roman" w:cs="Times New Roman"/>
          <w:sz w:val="24"/>
          <w:szCs w:val="24"/>
        </w:rPr>
        <w:t xml:space="preserve"> </w:t>
      </w:r>
      <w:r w:rsidR="001C06A1" w:rsidRPr="00F23A24">
        <w:rPr>
          <w:rFonts w:ascii="Times New Roman" w:hAnsi="Times New Roman" w:cs="Times New Roman"/>
          <w:sz w:val="24"/>
          <w:szCs w:val="24"/>
        </w:rPr>
        <w:t>P</w:t>
      </w:r>
      <w:r w:rsidR="00BF5E80" w:rsidRPr="00F23A24">
        <w:rPr>
          <w:rFonts w:ascii="Times New Roman" w:hAnsi="Times New Roman" w:cs="Times New Roman"/>
          <w:sz w:val="24"/>
          <w:szCs w:val="24"/>
        </w:rPr>
        <w:t>rihod</w:t>
      </w:r>
      <w:r w:rsidR="00D62734" w:rsidRPr="00F23A24">
        <w:rPr>
          <w:rFonts w:ascii="Times New Roman" w:hAnsi="Times New Roman" w:cs="Times New Roman"/>
          <w:sz w:val="24"/>
          <w:szCs w:val="24"/>
        </w:rPr>
        <w:t xml:space="preserve"> </w:t>
      </w:r>
      <w:r w:rsidR="00045F17" w:rsidRPr="00F23A24">
        <w:rPr>
          <w:rFonts w:ascii="Times New Roman" w:hAnsi="Times New Roman" w:cs="Times New Roman"/>
          <w:sz w:val="24"/>
          <w:szCs w:val="24"/>
        </w:rPr>
        <w:t xml:space="preserve">od </w:t>
      </w:r>
      <w:r w:rsidR="005A1248" w:rsidRPr="00F23A24">
        <w:rPr>
          <w:rFonts w:ascii="Times New Roman" w:hAnsi="Times New Roman" w:cs="Times New Roman"/>
          <w:sz w:val="24"/>
          <w:szCs w:val="24"/>
        </w:rPr>
        <w:t>komunalne naknade</w:t>
      </w:r>
      <w:r w:rsidR="00F4102C" w:rsidRPr="00F23A24">
        <w:rPr>
          <w:rFonts w:ascii="Times New Roman" w:hAnsi="Times New Roman" w:cs="Times New Roman"/>
          <w:sz w:val="24"/>
          <w:szCs w:val="24"/>
        </w:rPr>
        <w:t xml:space="preserve"> ostvaren je u visini od </w:t>
      </w:r>
      <w:r w:rsidR="00196E4A">
        <w:rPr>
          <w:rFonts w:ascii="Times New Roman" w:hAnsi="Times New Roman" w:cs="Times New Roman"/>
          <w:sz w:val="24"/>
          <w:szCs w:val="24"/>
        </w:rPr>
        <w:t>1.</w:t>
      </w:r>
      <w:r w:rsidR="00C30E25">
        <w:rPr>
          <w:rFonts w:ascii="Times New Roman" w:hAnsi="Times New Roman" w:cs="Times New Roman"/>
          <w:sz w:val="24"/>
          <w:szCs w:val="24"/>
        </w:rPr>
        <w:t>747.809</w:t>
      </w:r>
      <w:r w:rsidR="00196E4A">
        <w:rPr>
          <w:rFonts w:ascii="Times New Roman" w:hAnsi="Times New Roman" w:cs="Times New Roman"/>
          <w:sz w:val="24"/>
          <w:szCs w:val="24"/>
        </w:rPr>
        <w:t>,</w:t>
      </w:r>
      <w:r w:rsidR="00C30E25">
        <w:rPr>
          <w:rFonts w:ascii="Times New Roman" w:hAnsi="Times New Roman" w:cs="Times New Roman"/>
          <w:sz w:val="24"/>
          <w:szCs w:val="24"/>
        </w:rPr>
        <w:t>79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757933" w:rsidRPr="00F23A24">
        <w:rPr>
          <w:rFonts w:ascii="Times New Roman" w:hAnsi="Times New Roman" w:cs="Times New Roman"/>
          <w:sz w:val="24"/>
          <w:szCs w:val="24"/>
        </w:rPr>
        <w:t xml:space="preserve"> dok je </w:t>
      </w:r>
      <w:r w:rsidRPr="00F23A24">
        <w:rPr>
          <w:rFonts w:ascii="Times New Roman" w:hAnsi="Times New Roman" w:cs="Times New Roman"/>
          <w:sz w:val="24"/>
          <w:szCs w:val="24"/>
        </w:rPr>
        <w:t>komunaln</w:t>
      </w:r>
      <w:r w:rsidR="00F4102C" w:rsidRPr="00F23A24">
        <w:rPr>
          <w:rFonts w:ascii="Times New Roman" w:hAnsi="Times New Roman" w:cs="Times New Roman"/>
          <w:sz w:val="24"/>
          <w:szCs w:val="24"/>
        </w:rPr>
        <w:t xml:space="preserve">i </w:t>
      </w:r>
      <w:r w:rsidRPr="00F23A24">
        <w:rPr>
          <w:rFonts w:ascii="Times New Roman" w:hAnsi="Times New Roman" w:cs="Times New Roman"/>
          <w:sz w:val="24"/>
          <w:szCs w:val="24"/>
        </w:rPr>
        <w:t>doprinos</w:t>
      </w:r>
      <w:r w:rsidR="00757933" w:rsidRPr="00F23A24">
        <w:rPr>
          <w:rFonts w:ascii="Times New Roman" w:hAnsi="Times New Roman" w:cs="Times New Roman"/>
          <w:sz w:val="24"/>
          <w:szCs w:val="24"/>
        </w:rPr>
        <w:t xml:space="preserve"> realiziran </w:t>
      </w:r>
      <w:r w:rsidR="00F4102C" w:rsidRPr="00F23A24">
        <w:rPr>
          <w:rFonts w:ascii="Times New Roman" w:hAnsi="Times New Roman" w:cs="Times New Roman"/>
          <w:sz w:val="24"/>
          <w:szCs w:val="24"/>
        </w:rPr>
        <w:t xml:space="preserve">u visini od </w:t>
      </w:r>
      <w:r w:rsidR="00C30E25">
        <w:rPr>
          <w:rFonts w:ascii="Times New Roman" w:hAnsi="Times New Roman" w:cs="Times New Roman"/>
          <w:sz w:val="24"/>
          <w:szCs w:val="24"/>
        </w:rPr>
        <w:t>472.491,78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757933" w:rsidRPr="00F23A24">
        <w:rPr>
          <w:rFonts w:ascii="Times New Roman" w:hAnsi="Times New Roman" w:cs="Times New Roman"/>
          <w:sz w:val="24"/>
          <w:szCs w:val="24"/>
        </w:rPr>
        <w:t>.</w:t>
      </w:r>
    </w:p>
    <w:p w14:paraId="21A263BB" w14:textId="5E4AA783" w:rsidR="00456F79" w:rsidRDefault="008926C2" w:rsidP="009F2546">
      <w:pPr>
        <w:jc w:val="both"/>
        <w:rPr>
          <w:rFonts w:ascii="Times New Roman" w:hAnsi="Times New Roman" w:cs="Times New Roman"/>
          <w:sz w:val="24"/>
          <w:szCs w:val="24"/>
        </w:rPr>
      </w:pPr>
      <w:r w:rsidRPr="00C67F0F">
        <w:rPr>
          <w:rFonts w:ascii="Times New Roman" w:hAnsi="Times New Roman" w:cs="Times New Roman"/>
          <w:sz w:val="24"/>
          <w:szCs w:val="24"/>
        </w:rPr>
        <w:t>Prihodi po posebnim propisima ostvareni su u iznosu od</w:t>
      </w:r>
      <w:r w:rsidR="00196E4A">
        <w:rPr>
          <w:rFonts w:ascii="Times New Roman" w:hAnsi="Times New Roman" w:cs="Times New Roman"/>
          <w:sz w:val="24"/>
          <w:szCs w:val="24"/>
        </w:rPr>
        <w:t xml:space="preserve"> </w:t>
      </w:r>
      <w:r w:rsidR="00C30E25">
        <w:rPr>
          <w:rFonts w:ascii="Times New Roman" w:hAnsi="Times New Roman" w:cs="Times New Roman"/>
          <w:sz w:val="24"/>
          <w:szCs w:val="24"/>
        </w:rPr>
        <w:t>903.423,81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C30E25">
        <w:rPr>
          <w:rFonts w:ascii="Times New Roman" w:hAnsi="Times New Roman" w:cs="Times New Roman"/>
          <w:sz w:val="24"/>
          <w:szCs w:val="24"/>
        </w:rPr>
        <w:t xml:space="preserve"> a ostvareni su na razini prethodnog razdoblja.</w:t>
      </w:r>
      <w:r w:rsidR="00B14149" w:rsidRPr="00C67F0F">
        <w:rPr>
          <w:rFonts w:ascii="Times New Roman" w:hAnsi="Times New Roman" w:cs="Times New Roman"/>
          <w:sz w:val="24"/>
          <w:szCs w:val="24"/>
        </w:rPr>
        <w:t xml:space="preserve"> </w:t>
      </w:r>
      <w:r w:rsidR="00B14149" w:rsidRPr="005011C9">
        <w:rPr>
          <w:rFonts w:ascii="Times New Roman" w:hAnsi="Times New Roman" w:cs="Times New Roman"/>
          <w:sz w:val="24"/>
          <w:szCs w:val="24"/>
        </w:rPr>
        <w:t>Najznačajniji</w:t>
      </w:r>
      <w:r w:rsidRPr="005011C9">
        <w:rPr>
          <w:rFonts w:ascii="Times New Roman" w:hAnsi="Times New Roman" w:cs="Times New Roman"/>
          <w:sz w:val="24"/>
          <w:szCs w:val="24"/>
        </w:rPr>
        <w:t xml:space="preserve"> udio u ovim prihodima imaju prihodi od participacija i sufinanciranja cijena usluga koje pružaju proračunski korisnici</w:t>
      </w:r>
      <w:r w:rsidR="006B3899">
        <w:rPr>
          <w:rFonts w:ascii="Times New Roman" w:hAnsi="Times New Roman" w:cs="Times New Roman"/>
          <w:sz w:val="24"/>
          <w:szCs w:val="24"/>
        </w:rPr>
        <w:t>.</w:t>
      </w:r>
      <w:r w:rsidR="00FB1BB8">
        <w:rPr>
          <w:rFonts w:ascii="Times New Roman" w:hAnsi="Times New Roman" w:cs="Times New Roman"/>
          <w:sz w:val="24"/>
          <w:szCs w:val="24"/>
        </w:rPr>
        <w:t xml:space="preserve"> </w:t>
      </w:r>
      <w:r w:rsidR="00E67147">
        <w:rPr>
          <w:rFonts w:ascii="Times New Roman" w:hAnsi="Times New Roman" w:cs="Times New Roman"/>
          <w:sz w:val="24"/>
          <w:szCs w:val="24"/>
        </w:rPr>
        <w:t xml:space="preserve">Prihodi od upravnih i administrativnih pristojbi realizirani su u iznosu od </w:t>
      </w:r>
      <w:r w:rsidR="00C30E25">
        <w:rPr>
          <w:rFonts w:ascii="Times New Roman" w:hAnsi="Times New Roman" w:cs="Times New Roman"/>
          <w:sz w:val="24"/>
          <w:szCs w:val="24"/>
        </w:rPr>
        <w:t>329.219,81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eura, te su za </w:t>
      </w:r>
      <w:r w:rsidR="00C30E25">
        <w:rPr>
          <w:rFonts w:ascii="Times New Roman" w:hAnsi="Times New Roman" w:cs="Times New Roman"/>
          <w:sz w:val="24"/>
          <w:szCs w:val="24"/>
        </w:rPr>
        <w:t>5</w:t>
      </w:r>
      <w:r w:rsidR="00196E4A">
        <w:rPr>
          <w:rFonts w:ascii="Times New Roman" w:hAnsi="Times New Roman" w:cs="Times New Roman"/>
          <w:sz w:val="24"/>
          <w:szCs w:val="24"/>
        </w:rPr>
        <w:t>3</w:t>
      </w:r>
      <w:r w:rsidR="00E67147">
        <w:rPr>
          <w:rFonts w:ascii="Times New Roman" w:hAnsi="Times New Roman" w:cs="Times New Roman"/>
          <w:sz w:val="24"/>
          <w:szCs w:val="24"/>
        </w:rPr>
        <w:t>% veći od realizacije u istom razdoblju prethodne godine.</w:t>
      </w:r>
    </w:p>
    <w:p w14:paraId="6DD8B26E" w14:textId="1133C8FF" w:rsidR="008C3366" w:rsidRPr="002C6645" w:rsidRDefault="00FB1BB8" w:rsidP="002C664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C3366" w:rsidRPr="002C6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OD PRODAJE PR</w:t>
      </w:r>
      <w:r w:rsidR="00B14149" w:rsidRPr="002C6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8C3366" w:rsidRPr="002C6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IZVODA I USLUGA I PRIHODI OD DONACIJA</w:t>
      </w:r>
    </w:p>
    <w:p w14:paraId="11465C2A" w14:textId="77777777" w:rsidR="002C6645" w:rsidRDefault="004540C3" w:rsidP="002C66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Ostvareni</w:t>
      </w:r>
      <w:r w:rsidR="008C3366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u </w:t>
      </w:r>
      <w:r w:rsidR="00F65565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iznosu od </w:t>
      </w:r>
      <w:r w:rsidR="00DB4EC4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537.522,82</w:t>
      </w:r>
      <w:r w:rsidR="00196E4A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714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="00F65565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, čime je r</w:t>
      </w:r>
      <w:r w:rsidR="00C60F6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ealizirano </w:t>
      </w:r>
      <w:r w:rsidR="00DB4EC4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133% </w:t>
      </w:r>
      <w:r w:rsidR="00C60F6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Plana za 20</w:t>
      </w:r>
      <w:r w:rsidR="003400CC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B4EC4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60F6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F65565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3366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prethodno izvještajno razdoblje </w:t>
      </w:r>
      <w:r w:rsidR="00541EAC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iskazani su indeksom </w:t>
      </w:r>
      <w:r w:rsidR="00DB4EC4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298</w:t>
      </w:r>
      <w:r w:rsidR="00250408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F243B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čine ih prihodi od pruženih usluga proračunskih korisnika </w:t>
      </w:r>
      <w:r w:rsidR="001C06A1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i kapitalne </w:t>
      </w:r>
      <w:r w:rsidR="001F243B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tekuće donacije </w:t>
      </w:r>
      <w:r w:rsidR="001C06A1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za Grad i proračunske korisnike.</w:t>
      </w:r>
      <w:r w:rsidR="007C71F9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D0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od pruženih usluga proračunskih korisnika realizirani </w:t>
      </w:r>
      <w:r w:rsidR="00DB4EC4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262D0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DB4EC4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82.682,22</w:t>
      </w:r>
      <w:r w:rsidR="00E6714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262D0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dok su tekuće i kapitalne donacije </w:t>
      </w:r>
      <w:r w:rsidR="00314C72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proračunsk</w:t>
      </w:r>
      <w:r w:rsidR="00262D0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r w:rsidR="00314C72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korisni</w:t>
      </w:r>
      <w:r w:rsidR="00262D0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cima </w:t>
      </w:r>
      <w:r w:rsidR="00DB4EC4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i Gradu o</w:t>
      </w:r>
      <w:r w:rsidR="00262D0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stvarene u iznosu od</w:t>
      </w:r>
      <w:r w:rsidR="00196E4A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EC4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>454.840,60</w:t>
      </w:r>
      <w:r w:rsidR="00E67147" w:rsidRPr="002C6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2C66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D50AFE" w14:textId="620A4B75" w:rsidR="00575EA1" w:rsidRPr="002C6645" w:rsidRDefault="00267D17" w:rsidP="002C664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565" w:rsidRPr="002C6645">
        <w:rPr>
          <w:rFonts w:ascii="Times New Roman" w:hAnsi="Times New Roman" w:cs="Times New Roman"/>
          <w:b/>
          <w:sz w:val="24"/>
          <w:szCs w:val="24"/>
        </w:rPr>
        <w:t>KAZNE</w:t>
      </w:r>
      <w:r w:rsidR="00357CE5" w:rsidRPr="002C6645">
        <w:rPr>
          <w:rFonts w:ascii="Times New Roman" w:hAnsi="Times New Roman" w:cs="Times New Roman"/>
          <w:b/>
          <w:sz w:val="24"/>
          <w:szCs w:val="24"/>
        </w:rPr>
        <w:t xml:space="preserve"> I UPRAVNE MJERE</w:t>
      </w:r>
    </w:p>
    <w:p w14:paraId="66F7C0F6" w14:textId="71667474" w:rsidR="00E7733C" w:rsidRPr="00BF6C3E" w:rsidRDefault="00357CE5" w:rsidP="00521DA5">
      <w:pPr>
        <w:jc w:val="both"/>
        <w:rPr>
          <w:rFonts w:ascii="Times New Roman" w:hAnsi="Times New Roman" w:cs="Times New Roman"/>
          <w:sz w:val="24"/>
          <w:szCs w:val="24"/>
        </w:rPr>
      </w:pPr>
      <w:r w:rsidRPr="004143CE">
        <w:rPr>
          <w:rFonts w:ascii="Times New Roman" w:hAnsi="Times New Roman" w:cs="Times New Roman"/>
          <w:sz w:val="24"/>
          <w:szCs w:val="24"/>
        </w:rPr>
        <w:t xml:space="preserve">Prihodi od kazni i upravnih 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mjera </w:t>
      </w:r>
      <w:r w:rsidR="00E67147">
        <w:rPr>
          <w:rFonts w:ascii="Times New Roman" w:hAnsi="Times New Roman" w:cs="Times New Roman"/>
          <w:sz w:val="24"/>
          <w:szCs w:val="24"/>
        </w:rPr>
        <w:t xml:space="preserve">realizirani 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su u iznosu od </w:t>
      </w:r>
      <w:r w:rsidR="003B5D47">
        <w:rPr>
          <w:rFonts w:ascii="Times New Roman" w:hAnsi="Times New Roman" w:cs="Times New Roman"/>
          <w:sz w:val="24"/>
          <w:szCs w:val="24"/>
        </w:rPr>
        <w:t>78.046,04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Pr="004143CE">
        <w:rPr>
          <w:rFonts w:ascii="Times New Roman" w:hAnsi="Times New Roman" w:cs="Times New Roman"/>
          <w:sz w:val="24"/>
          <w:szCs w:val="24"/>
        </w:rPr>
        <w:t xml:space="preserve">, 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čime je ostvareno </w:t>
      </w:r>
      <w:r w:rsidR="003B5D47">
        <w:rPr>
          <w:rFonts w:ascii="Times New Roman" w:hAnsi="Times New Roman" w:cs="Times New Roman"/>
          <w:sz w:val="24"/>
          <w:szCs w:val="24"/>
        </w:rPr>
        <w:t>49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% </w:t>
      </w:r>
      <w:r w:rsidR="00456F79" w:rsidRPr="004143CE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541EAC" w:rsidRPr="004143CE">
        <w:rPr>
          <w:rFonts w:ascii="Times New Roman" w:hAnsi="Times New Roman" w:cs="Times New Roman"/>
          <w:sz w:val="24"/>
          <w:szCs w:val="24"/>
        </w:rPr>
        <w:t>Plana.</w:t>
      </w:r>
      <w:r w:rsidR="00B70D1B">
        <w:rPr>
          <w:rFonts w:ascii="Times New Roman" w:hAnsi="Times New Roman" w:cs="Times New Roman"/>
          <w:sz w:val="24"/>
          <w:szCs w:val="24"/>
        </w:rPr>
        <w:t xml:space="preserve"> </w:t>
      </w:r>
      <w:r w:rsidR="00B70D1B" w:rsidRPr="00B70D1B">
        <w:rPr>
          <w:rFonts w:ascii="Times New Roman" w:hAnsi="Times New Roman" w:cs="Times New Roman"/>
          <w:sz w:val="24"/>
          <w:szCs w:val="24"/>
        </w:rPr>
        <w:t>U odnosu na prvo polugodište prethodne godine, ovi su prihodi iskazani  indeksom</w:t>
      </w:r>
      <w:r w:rsidR="00F0493E">
        <w:rPr>
          <w:rFonts w:ascii="Times New Roman" w:hAnsi="Times New Roman" w:cs="Times New Roman"/>
          <w:sz w:val="24"/>
          <w:szCs w:val="24"/>
        </w:rPr>
        <w:t xml:space="preserve"> </w:t>
      </w:r>
      <w:r w:rsidR="003B5D47">
        <w:rPr>
          <w:rFonts w:ascii="Times New Roman" w:hAnsi="Times New Roman" w:cs="Times New Roman"/>
          <w:sz w:val="24"/>
          <w:szCs w:val="24"/>
        </w:rPr>
        <w:t>85</w:t>
      </w:r>
      <w:r w:rsidR="00B70D1B" w:rsidRPr="00B70D1B">
        <w:rPr>
          <w:rFonts w:ascii="Times New Roman" w:hAnsi="Times New Roman" w:cs="Times New Roman"/>
          <w:sz w:val="24"/>
          <w:szCs w:val="24"/>
        </w:rPr>
        <w:t>.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 </w:t>
      </w:r>
      <w:r w:rsidRPr="004143CE">
        <w:rPr>
          <w:rFonts w:ascii="Times New Roman" w:hAnsi="Times New Roman" w:cs="Times New Roman"/>
          <w:sz w:val="24"/>
          <w:szCs w:val="24"/>
        </w:rPr>
        <w:t xml:space="preserve">Navedenu grupu prihoda čine prihodi od naplaćenih troškova </w:t>
      </w:r>
      <w:r w:rsidR="00AC6EF9" w:rsidRPr="004143CE">
        <w:rPr>
          <w:rFonts w:ascii="Times New Roman" w:hAnsi="Times New Roman" w:cs="Times New Roman"/>
          <w:sz w:val="24"/>
          <w:szCs w:val="24"/>
        </w:rPr>
        <w:t xml:space="preserve">prisilne naplate, </w:t>
      </w:r>
      <w:r w:rsidR="00AC6EF9" w:rsidRPr="004143CE">
        <w:rPr>
          <w:rFonts w:ascii="Times New Roman" w:hAnsi="Times New Roman" w:cs="Times New Roman"/>
          <w:sz w:val="24"/>
          <w:szCs w:val="24"/>
        </w:rPr>
        <w:lastRenderedPageBreak/>
        <w:t>mandatnih, prekršajnih i prometnih kazni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, koje su ostvarene u visini od </w:t>
      </w:r>
      <w:r w:rsidR="003B5D47">
        <w:rPr>
          <w:rFonts w:ascii="Times New Roman" w:hAnsi="Times New Roman" w:cs="Times New Roman"/>
          <w:sz w:val="24"/>
          <w:szCs w:val="24"/>
        </w:rPr>
        <w:t>76.590,43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541EAC" w:rsidRPr="004143CE">
        <w:rPr>
          <w:rFonts w:ascii="Times New Roman" w:hAnsi="Times New Roman" w:cs="Times New Roman"/>
          <w:sz w:val="24"/>
          <w:szCs w:val="24"/>
        </w:rPr>
        <w:t>, te ostali prihodi – povrati u proračun, koji su realizirani u visini o</w:t>
      </w:r>
      <w:r w:rsidR="0078117B" w:rsidRPr="004143CE">
        <w:rPr>
          <w:rFonts w:ascii="Times New Roman" w:hAnsi="Times New Roman" w:cs="Times New Roman"/>
          <w:sz w:val="24"/>
          <w:szCs w:val="24"/>
        </w:rPr>
        <w:t>d</w:t>
      </w:r>
      <w:r w:rsidR="00E67147">
        <w:rPr>
          <w:rFonts w:ascii="Times New Roman" w:hAnsi="Times New Roman" w:cs="Times New Roman"/>
          <w:sz w:val="24"/>
          <w:szCs w:val="24"/>
        </w:rPr>
        <w:t xml:space="preserve"> </w:t>
      </w:r>
      <w:r w:rsidR="003B5D47">
        <w:rPr>
          <w:rFonts w:ascii="Times New Roman" w:hAnsi="Times New Roman" w:cs="Times New Roman"/>
          <w:sz w:val="24"/>
          <w:szCs w:val="24"/>
        </w:rPr>
        <w:t>1.455,61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541EAC" w:rsidRPr="004143CE">
        <w:rPr>
          <w:rFonts w:ascii="Times New Roman" w:hAnsi="Times New Roman" w:cs="Times New Roman"/>
          <w:sz w:val="24"/>
          <w:szCs w:val="24"/>
        </w:rPr>
        <w:t>.</w:t>
      </w:r>
    </w:p>
    <w:p w14:paraId="49B28DE9" w14:textId="77777777" w:rsidR="00E836BC" w:rsidRPr="00752EFC" w:rsidRDefault="00267D17" w:rsidP="00C074C8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6BC" w:rsidRPr="00752EFC">
        <w:rPr>
          <w:rFonts w:ascii="Times New Roman" w:hAnsi="Times New Roman" w:cs="Times New Roman"/>
          <w:b/>
          <w:sz w:val="24"/>
          <w:szCs w:val="24"/>
        </w:rPr>
        <w:t>PRIHODI OD PRODAJE NEFINANCIJSKE</w:t>
      </w:r>
      <w:r w:rsidR="00CC3278" w:rsidRPr="00752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6BC" w:rsidRPr="00752EFC">
        <w:rPr>
          <w:rFonts w:ascii="Times New Roman" w:hAnsi="Times New Roman" w:cs="Times New Roman"/>
          <w:b/>
          <w:sz w:val="24"/>
          <w:szCs w:val="24"/>
        </w:rPr>
        <w:t xml:space="preserve"> IMOVINE</w:t>
      </w:r>
    </w:p>
    <w:p w14:paraId="61FAF6BD" w14:textId="77777777" w:rsidR="0042148B" w:rsidRPr="00752EFC" w:rsidRDefault="00C408AA" w:rsidP="001612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2EF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1A72979D" w14:textId="77777777" w:rsidR="003B5D47" w:rsidRDefault="00705A4E" w:rsidP="009F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EFC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 w:rsidR="003B5D47">
        <w:rPr>
          <w:rFonts w:ascii="Times New Roman" w:hAnsi="Times New Roman" w:cs="Times New Roman"/>
          <w:sz w:val="24"/>
          <w:szCs w:val="24"/>
        </w:rPr>
        <w:t>2.010.000</w:t>
      </w:r>
      <w:r w:rsidR="005513F2">
        <w:rPr>
          <w:rFonts w:ascii="Times New Roman" w:hAnsi="Times New Roman" w:cs="Times New Roman"/>
          <w:sz w:val="24"/>
          <w:szCs w:val="24"/>
        </w:rPr>
        <w:t xml:space="preserve"> eura</w:t>
      </w:r>
      <w:r w:rsidR="004C4DE5" w:rsidRPr="00752EFC">
        <w:rPr>
          <w:rFonts w:ascii="Times New Roman" w:hAnsi="Times New Roman" w:cs="Times New Roman"/>
          <w:sz w:val="24"/>
          <w:szCs w:val="24"/>
        </w:rPr>
        <w:t>,</w:t>
      </w:r>
      <w:r w:rsidR="00541EAC" w:rsidRPr="00752EFC">
        <w:rPr>
          <w:rFonts w:ascii="Times New Roman" w:hAnsi="Times New Roman" w:cs="Times New Roman"/>
          <w:sz w:val="24"/>
          <w:szCs w:val="24"/>
        </w:rPr>
        <w:t xml:space="preserve"> a </w:t>
      </w:r>
      <w:r w:rsidR="00C074C8" w:rsidRPr="00752EFC">
        <w:rPr>
          <w:rFonts w:ascii="Times New Roman" w:hAnsi="Times New Roman" w:cs="Times New Roman"/>
          <w:sz w:val="24"/>
          <w:szCs w:val="24"/>
        </w:rPr>
        <w:t>do 30.06.20</w:t>
      </w:r>
      <w:r w:rsidR="00C72517" w:rsidRPr="00752EFC">
        <w:rPr>
          <w:rFonts w:ascii="Times New Roman" w:hAnsi="Times New Roman" w:cs="Times New Roman"/>
          <w:sz w:val="24"/>
          <w:szCs w:val="24"/>
        </w:rPr>
        <w:t>2</w:t>
      </w:r>
      <w:r w:rsidR="003B5D47">
        <w:rPr>
          <w:rFonts w:ascii="Times New Roman" w:hAnsi="Times New Roman" w:cs="Times New Roman"/>
          <w:sz w:val="24"/>
          <w:szCs w:val="24"/>
        </w:rPr>
        <w:t>5</w:t>
      </w:r>
      <w:r w:rsidR="00C074C8" w:rsidRPr="00752EFC">
        <w:rPr>
          <w:rFonts w:ascii="Times New Roman" w:hAnsi="Times New Roman" w:cs="Times New Roman"/>
          <w:sz w:val="24"/>
          <w:szCs w:val="24"/>
        </w:rPr>
        <w:t>.</w:t>
      </w:r>
      <w:r w:rsidR="007A6555" w:rsidRPr="00752EFC">
        <w:rPr>
          <w:rFonts w:ascii="Times New Roman" w:hAnsi="Times New Roman" w:cs="Times New Roman"/>
          <w:sz w:val="24"/>
          <w:szCs w:val="24"/>
        </w:rPr>
        <w:t xml:space="preserve"> </w:t>
      </w:r>
      <w:r w:rsidR="00C074C8" w:rsidRPr="00752EFC">
        <w:rPr>
          <w:rFonts w:ascii="Times New Roman" w:hAnsi="Times New Roman" w:cs="Times New Roman"/>
          <w:sz w:val="24"/>
          <w:szCs w:val="24"/>
        </w:rPr>
        <w:t>godine ostvareno</w:t>
      </w:r>
      <w:r w:rsidR="00CF6B73" w:rsidRPr="00752EFC">
        <w:rPr>
          <w:rFonts w:ascii="Times New Roman" w:hAnsi="Times New Roman" w:cs="Times New Roman"/>
          <w:sz w:val="24"/>
          <w:szCs w:val="24"/>
        </w:rPr>
        <w:t xml:space="preserve"> je</w:t>
      </w:r>
      <w:r w:rsidR="00C074C8" w:rsidRPr="00752EFC">
        <w:rPr>
          <w:rFonts w:ascii="Times New Roman" w:hAnsi="Times New Roman" w:cs="Times New Roman"/>
          <w:sz w:val="24"/>
          <w:szCs w:val="24"/>
        </w:rPr>
        <w:t xml:space="preserve"> </w:t>
      </w:r>
      <w:r w:rsidR="003B5D47">
        <w:rPr>
          <w:rFonts w:ascii="Times New Roman" w:hAnsi="Times New Roman" w:cs="Times New Roman"/>
          <w:sz w:val="24"/>
          <w:szCs w:val="24"/>
        </w:rPr>
        <w:t>291.844,21</w:t>
      </w:r>
      <w:r w:rsidR="00F0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93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40125">
        <w:rPr>
          <w:rFonts w:ascii="Times New Roman" w:hAnsi="Times New Roman" w:cs="Times New Roman"/>
          <w:sz w:val="24"/>
          <w:szCs w:val="24"/>
        </w:rPr>
        <w:t xml:space="preserve"> čime </w:t>
      </w:r>
      <w:r w:rsidR="00F0493E">
        <w:rPr>
          <w:rFonts w:ascii="Times New Roman" w:hAnsi="Times New Roman" w:cs="Times New Roman"/>
          <w:sz w:val="24"/>
          <w:szCs w:val="24"/>
        </w:rPr>
        <w:t xml:space="preserve">je </w:t>
      </w:r>
      <w:r w:rsidR="003B5D47">
        <w:rPr>
          <w:rFonts w:ascii="Times New Roman" w:hAnsi="Times New Roman" w:cs="Times New Roman"/>
          <w:sz w:val="24"/>
          <w:szCs w:val="24"/>
        </w:rPr>
        <w:t xml:space="preserve">realizirano 15% </w:t>
      </w:r>
      <w:r w:rsidR="00C074C8" w:rsidRPr="00752EFC">
        <w:rPr>
          <w:rFonts w:ascii="Times New Roman" w:hAnsi="Times New Roman" w:cs="Times New Roman"/>
          <w:sz w:val="24"/>
          <w:szCs w:val="24"/>
        </w:rPr>
        <w:t>Plan</w:t>
      </w:r>
      <w:r w:rsidR="003B5D47">
        <w:rPr>
          <w:rFonts w:ascii="Times New Roman" w:hAnsi="Times New Roman" w:cs="Times New Roman"/>
          <w:sz w:val="24"/>
          <w:szCs w:val="24"/>
        </w:rPr>
        <w:t>a</w:t>
      </w:r>
      <w:r w:rsidR="00F0493E">
        <w:rPr>
          <w:rFonts w:ascii="Times New Roman" w:hAnsi="Times New Roman" w:cs="Times New Roman"/>
          <w:sz w:val="24"/>
          <w:szCs w:val="24"/>
        </w:rPr>
        <w:t xml:space="preserve"> </w:t>
      </w:r>
      <w:r w:rsidR="00C40125">
        <w:rPr>
          <w:rFonts w:ascii="Times New Roman" w:hAnsi="Times New Roman" w:cs="Times New Roman"/>
          <w:sz w:val="24"/>
          <w:szCs w:val="24"/>
        </w:rPr>
        <w:t>z</w:t>
      </w:r>
      <w:r w:rsidR="00F0493E">
        <w:rPr>
          <w:rFonts w:ascii="Times New Roman" w:hAnsi="Times New Roman" w:cs="Times New Roman"/>
          <w:sz w:val="24"/>
          <w:szCs w:val="24"/>
        </w:rPr>
        <w:t>a 202</w:t>
      </w:r>
      <w:r w:rsidR="003B5D47">
        <w:rPr>
          <w:rFonts w:ascii="Times New Roman" w:hAnsi="Times New Roman" w:cs="Times New Roman"/>
          <w:sz w:val="24"/>
          <w:szCs w:val="24"/>
        </w:rPr>
        <w:t>5</w:t>
      </w:r>
      <w:r w:rsidR="00F0493E">
        <w:rPr>
          <w:rFonts w:ascii="Times New Roman" w:hAnsi="Times New Roman" w:cs="Times New Roman"/>
          <w:sz w:val="24"/>
          <w:szCs w:val="24"/>
        </w:rPr>
        <w:t>. godinu</w:t>
      </w:r>
      <w:r w:rsidR="003B5D47">
        <w:rPr>
          <w:rFonts w:ascii="Times New Roman" w:hAnsi="Times New Roman" w:cs="Times New Roman"/>
          <w:sz w:val="24"/>
          <w:szCs w:val="24"/>
        </w:rPr>
        <w:t>.</w:t>
      </w:r>
    </w:p>
    <w:p w14:paraId="2F9910D1" w14:textId="78083C39" w:rsidR="005513F2" w:rsidRDefault="00C074C8" w:rsidP="009F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DD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DF2EA3">
        <w:rPr>
          <w:rFonts w:ascii="Times New Roman" w:hAnsi="Times New Roman" w:cs="Times New Roman"/>
          <w:sz w:val="24"/>
          <w:szCs w:val="24"/>
        </w:rPr>
        <w:t xml:space="preserve">prodaje </w:t>
      </w:r>
      <w:r w:rsidR="00D243DD" w:rsidRPr="004C41DD">
        <w:rPr>
          <w:rFonts w:ascii="Times New Roman" w:hAnsi="Times New Roman" w:cs="Times New Roman"/>
          <w:sz w:val="24"/>
          <w:szCs w:val="24"/>
        </w:rPr>
        <w:t xml:space="preserve">zemljišta </w:t>
      </w:r>
      <w:r w:rsidRPr="004C41DD"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364EA4" w:rsidRPr="004C41DD">
        <w:rPr>
          <w:rFonts w:ascii="Times New Roman" w:hAnsi="Times New Roman" w:cs="Times New Roman"/>
          <w:sz w:val="24"/>
          <w:szCs w:val="24"/>
        </w:rPr>
        <w:t xml:space="preserve">temeljem </w:t>
      </w:r>
      <w:r w:rsidR="00BC77CE" w:rsidRPr="004C41DD">
        <w:rPr>
          <w:rFonts w:ascii="Times New Roman" w:hAnsi="Times New Roman" w:cs="Times New Roman"/>
          <w:sz w:val="24"/>
          <w:szCs w:val="24"/>
        </w:rPr>
        <w:t>sklopljeni</w:t>
      </w:r>
      <w:r w:rsidR="00D243DD" w:rsidRPr="004C41DD">
        <w:rPr>
          <w:rFonts w:ascii="Times New Roman" w:hAnsi="Times New Roman" w:cs="Times New Roman"/>
          <w:sz w:val="24"/>
          <w:szCs w:val="24"/>
        </w:rPr>
        <w:t>h ugovora o  prodaji građevinskog zemlj</w:t>
      </w:r>
      <w:r w:rsidR="007A6555" w:rsidRPr="004C41DD">
        <w:rPr>
          <w:rFonts w:ascii="Times New Roman" w:hAnsi="Times New Roman" w:cs="Times New Roman"/>
          <w:sz w:val="24"/>
          <w:szCs w:val="24"/>
        </w:rPr>
        <w:t>i</w:t>
      </w:r>
      <w:r w:rsidR="00D243DD" w:rsidRPr="004C41DD">
        <w:rPr>
          <w:rFonts w:ascii="Times New Roman" w:hAnsi="Times New Roman" w:cs="Times New Roman"/>
          <w:sz w:val="24"/>
          <w:szCs w:val="24"/>
        </w:rPr>
        <w:t>šta</w:t>
      </w:r>
      <w:r w:rsidR="00FE37F7" w:rsidRPr="004C41D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B5D47">
        <w:rPr>
          <w:rFonts w:ascii="Times New Roman" w:hAnsi="Times New Roman" w:cs="Times New Roman"/>
          <w:sz w:val="24"/>
          <w:szCs w:val="24"/>
        </w:rPr>
        <w:t>290.238,94</w:t>
      </w:r>
      <w:r w:rsidR="00F0493E">
        <w:rPr>
          <w:rFonts w:ascii="Times New Roman" w:hAnsi="Times New Roman" w:cs="Times New Roman"/>
          <w:sz w:val="24"/>
          <w:szCs w:val="24"/>
        </w:rPr>
        <w:t xml:space="preserve"> eur</w:t>
      </w:r>
      <w:r w:rsidR="003B5D47">
        <w:rPr>
          <w:rFonts w:ascii="Times New Roman" w:hAnsi="Times New Roman" w:cs="Times New Roman"/>
          <w:sz w:val="24"/>
          <w:szCs w:val="24"/>
        </w:rPr>
        <w:t>a</w:t>
      </w:r>
      <w:r w:rsidR="00F0493E">
        <w:rPr>
          <w:rFonts w:ascii="Times New Roman" w:hAnsi="Times New Roman" w:cs="Times New Roman"/>
          <w:sz w:val="24"/>
          <w:szCs w:val="24"/>
        </w:rPr>
        <w:t>,</w:t>
      </w:r>
      <w:r w:rsidR="005513F2">
        <w:rPr>
          <w:rFonts w:ascii="Times New Roman" w:hAnsi="Times New Roman" w:cs="Times New Roman"/>
          <w:sz w:val="24"/>
          <w:szCs w:val="24"/>
        </w:rPr>
        <w:t xml:space="preserve"> a p</w:t>
      </w:r>
      <w:r w:rsidR="00FE37F7" w:rsidRPr="00A1699D">
        <w:rPr>
          <w:rFonts w:ascii="Times New Roman" w:hAnsi="Times New Roman" w:cs="Times New Roman"/>
          <w:sz w:val="24"/>
          <w:szCs w:val="24"/>
        </w:rPr>
        <w:t>r</w:t>
      </w:r>
      <w:r w:rsidR="00364EA4" w:rsidRPr="00A1699D">
        <w:rPr>
          <w:rFonts w:ascii="Times New Roman" w:hAnsi="Times New Roman" w:cs="Times New Roman"/>
          <w:sz w:val="24"/>
          <w:szCs w:val="24"/>
        </w:rPr>
        <w:t>ihodi od prodaje stanova na kojima postoji stanarsko pravo</w:t>
      </w:r>
      <w:r w:rsidR="00262D07">
        <w:rPr>
          <w:rFonts w:ascii="Times New Roman" w:hAnsi="Times New Roman" w:cs="Times New Roman"/>
          <w:sz w:val="24"/>
          <w:szCs w:val="24"/>
        </w:rPr>
        <w:t xml:space="preserve"> i</w:t>
      </w:r>
      <w:r w:rsidR="00364EA4" w:rsidRPr="00A1699D">
        <w:rPr>
          <w:rFonts w:ascii="Times New Roman" w:hAnsi="Times New Roman" w:cs="Times New Roman"/>
          <w:sz w:val="24"/>
          <w:szCs w:val="24"/>
        </w:rPr>
        <w:t xml:space="preserve"> od prodaje stanova </w:t>
      </w:r>
      <w:r w:rsidR="00A1108A" w:rsidRPr="00A1699D">
        <w:rPr>
          <w:rFonts w:ascii="Times New Roman" w:hAnsi="Times New Roman" w:cs="Times New Roman"/>
          <w:sz w:val="24"/>
          <w:szCs w:val="24"/>
        </w:rPr>
        <w:t xml:space="preserve"> </w:t>
      </w:r>
      <w:r w:rsidR="00364EA4" w:rsidRPr="00A1699D">
        <w:rPr>
          <w:rFonts w:ascii="Times New Roman" w:hAnsi="Times New Roman" w:cs="Times New Roman"/>
          <w:sz w:val="24"/>
          <w:szCs w:val="24"/>
        </w:rPr>
        <w:t>u vlasništvu proračunskih korisnika</w:t>
      </w:r>
      <w:r w:rsidR="00262D07">
        <w:rPr>
          <w:rFonts w:ascii="Times New Roman" w:hAnsi="Times New Roman" w:cs="Times New Roman"/>
          <w:sz w:val="24"/>
          <w:szCs w:val="24"/>
        </w:rPr>
        <w:t xml:space="preserve"> realizirani su u iznosu o</w:t>
      </w:r>
      <w:r w:rsidR="00A1108A" w:rsidRPr="00A1699D">
        <w:rPr>
          <w:rFonts w:ascii="Times New Roman" w:hAnsi="Times New Roman" w:cs="Times New Roman"/>
          <w:sz w:val="24"/>
          <w:szCs w:val="24"/>
        </w:rPr>
        <w:t>d</w:t>
      </w:r>
      <w:r w:rsidR="00F0493E">
        <w:rPr>
          <w:rFonts w:ascii="Times New Roman" w:hAnsi="Times New Roman" w:cs="Times New Roman"/>
          <w:sz w:val="24"/>
          <w:szCs w:val="24"/>
        </w:rPr>
        <w:t xml:space="preserve"> </w:t>
      </w:r>
      <w:r w:rsidR="003B5D47">
        <w:rPr>
          <w:rFonts w:ascii="Times New Roman" w:hAnsi="Times New Roman" w:cs="Times New Roman"/>
          <w:sz w:val="24"/>
          <w:szCs w:val="24"/>
        </w:rPr>
        <w:t>1.605,27</w:t>
      </w:r>
      <w:r w:rsidR="00F0493E">
        <w:rPr>
          <w:rFonts w:ascii="Times New Roman" w:hAnsi="Times New Roman" w:cs="Times New Roman"/>
          <w:sz w:val="24"/>
          <w:szCs w:val="24"/>
        </w:rPr>
        <w:t xml:space="preserve"> </w:t>
      </w:r>
      <w:r w:rsidR="005513F2">
        <w:rPr>
          <w:rFonts w:ascii="Times New Roman" w:hAnsi="Times New Roman" w:cs="Times New Roman"/>
          <w:sz w:val="24"/>
          <w:szCs w:val="24"/>
        </w:rPr>
        <w:t>eura.</w:t>
      </w:r>
    </w:p>
    <w:p w14:paraId="677E9A18" w14:textId="77777777" w:rsidR="00A32EC2" w:rsidRPr="00FB1BB8" w:rsidRDefault="00A32EC2" w:rsidP="009F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14D98" w14:textId="77777777" w:rsidR="00A44FF5" w:rsidRPr="00924BC8" w:rsidRDefault="00E87344" w:rsidP="00A44FF5">
      <w:pPr>
        <w:pStyle w:val="Odlomakpopisa"/>
        <w:numPr>
          <w:ilvl w:val="0"/>
          <w:numId w:val="1"/>
        </w:numPr>
        <w:ind w:left="1068"/>
        <w:rPr>
          <w:rFonts w:ascii="Times New Roman" w:hAnsi="Times New Roman" w:cs="Times New Roman"/>
          <w:b/>
          <w:sz w:val="28"/>
          <w:szCs w:val="28"/>
        </w:rPr>
      </w:pPr>
      <w:r w:rsidRPr="00924BC8">
        <w:rPr>
          <w:rFonts w:ascii="Times New Roman" w:hAnsi="Times New Roman" w:cs="Times New Roman"/>
          <w:b/>
          <w:sz w:val="28"/>
          <w:szCs w:val="28"/>
        </w:rPr>
        <w:t>RASHOD</w:t>
      </w:r>
      <w:r w:rsidR="00E41EA6" w:rsidRPr="00924BC8">
        <w:rPr>
          <w:rFonts w:ascii="Times New Roman" w:hAnsi="Times New Roman" w:cs="Times New Roman"/>
          <w:b/>
          <w:sz w:val="28"/>
          <w:szCs w:val="28"/>
        </w:rPr>
        <w:t>I</w:t>
      </w:r>
      <w:r w:rsidRPr="00924B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A53855" w14:textId="434A415D" w:rsidR="00C40125" w:rsidRPr="00EE53DC" w:rsidRDefault="00E41EA6" w:rsidP="00626CFC">
      <w:pPr>
        <w:jc w:val="both"/>
        <w:rPr>
          <w:rFonts w:ascii="Times New Roman" w:hAnsi="Times New Roman" w:cs="Times New Roman"/>
          <w:sz w:val="24"/>
          <w:szCs w:val="24"/>
        </w:rPr>
      </w:pPr>
      <w:r w:rsidRPr="00626CFC">
        <w:rPr>
          <w:rFonts w:ascii="Times New Roman" w:hAnsi="Times New Roman" w:cs="Times New Roman"/>
          <w:sz w:val="24"/>
          <w:szCs w:val="24"/>
        </w:rPr>
        <w:t xml:space="preserve">Ukupni rashodi ostvareni su u iznosu od </w:t>
      </w:r>
      <w:r w:rsidR="00D46392">
        <w:rPr>
          <w:rFonts w:ascii="Times New Roman" w:hAnsi="Times New Roman" w:cs="Times New Roman"/>
          <w:sz w:val="24"/>
          <w:szCs w:val="24"/>
        </w:rPr>
        <w:t>25.935.837,27</w:t>
      </w:r>
      <w:r w:rsidR="003E2034" w:rsidRPr="00626CFC">
        <w:rPr>
          <w:rFonts w:ascii="Times New Roman" w:hAnsi="Times New Roman" w:cs="Times New Roman"/>
          <w:sz w:val="24"/>
          <w:szCs w:val="24"/>
        </w:rPr>
        <w:t xml:space="preserve"> eura</w:t>
      </w:r>
      <w:r w:rsidRPr="00626CFC">
        <w:rPr>
          <w:rFonts w:ascii="Times New Roman" w:hAnsi="Times New Roman" w:cs="Times New Roman"/>
          <w:sz w:val="24"/>
          <w:szCs w:val="24"/>
        </w:rPr>
        <w:t xml:space="preserve">, od čega se </w:t>
      </w:r>
      <w:r w:rsidR="00AD1F65">
        <w:rPr>
          <w:rFonts w:ascii="Times New Roman" w:hAnsi="Times New Roman" w:cs="Times New Roman"/>
          <w:sz w:val="24"/>
          <w:szCs w:val="24"/>
        </w:rPr>
        <w:t>1</w:t>
      </w:r>
      <w:r w:rsidR="00D46392">
        <w:rPr>
          <w:rFonts w:ascii="Times New Roman" w:hAnsi="Times New Roman" w:cs="Times New Roman"/>
          <w:sz w:val="24"/>
          <w:szCs w:val="24"/>
        </w:rPr>
        <w:t>8.398.796,82</w:t>
      </w:r>
      <w:r w:rsidR="003E2034" w:rsidRPr="00626CFC">
        <w:rPr>
          <w:rFonts w:ascii="Times New Roman" w:hAnsi="Times New Roman" w:cs="Times New Roman"/>
          <w:sz w:val="24"/>
          <w:szCs w:val="24"/>
        </w:rPr>
        <w:t xml:space="preserve"> eura</w:t>
      </w:r>
      <w:r w:rsidRPr="00626CFC">
        <w:rPr>
          <w:rFonts w:ascii="Times New Roman" w:hAnsi="Times New Roman" w:cs="Times New Roman"/>
          <w:sz w:val="24"/>
          <w:szCs w:val="24"/>
        </w:rPr>
        <w:t xml:space="preserve"> odnosi na r</w:t>
      </w:r>
      <w:r w:rsidR="000139E8" w:rsidRPr="00626CFC">
        <w:rPr>
          <w:rFonts w:ascii="Times New Roman" w:hAnsi="Times New Roman" w:cs="Times New Roman"/>
          <w:sz w:val="24"/>
          <w:szCs w:val="24"/>
        </w:rPr>
        <w:t>ashod</w:t>
      </w:r>
      <w:r w:rsidRPr="00626CFC">
        <w:rPr>
          <w:rFonts w:ascii="Times New Roman" w:hAnsi="Times New Roman" w:cs="Times New Roman"/>
          <w:sz w:val="24"/>
          <w:szCs w:val="24"/>
        </w:rPr>
        <w:t>e</w:t>
      </w:r>
      <w:r w:rsidR="000139E8" w:rsidRPr="00626CFC">
        <w:rPr>
          <w:rFonts w:ascii="Times New Roman" w:hAnsi="Times New Roman" w:cs="Times New Roman"/>
          <w:sz w:val="24"/>
          <w:szCs w:val="24"/>
        </w:rPr>
        <w:t xml:space="preserve"> poslov</w:t>
      </w:r>
      <w:r w:rsidR="001E5746" w:rsidRPr="00626CFC">
        <w:rPr>
          <w:rFonts w:ascii="Times New Roman" w:hAnsi="Times New Roman" w:cs="Times New Roman"/>
          <w:sz w:val="24"/>
          <w:szCs w:val="24"/>
        </w:rPr>
        <w:t>anja</w:t>
      </w:r>
      <w:r w:rsidRPr="00626CFC">
        <w:rPr>
          <w:rFonts w:ascii="Times New Roman" w:hAnsi="Times New Roman" w:cs="Times New Roman"/>
          <w:sz w:val="24"/>
          <w:szCs w:val="24"/>
        </w:rPr>
        <w:t xml:space="preserve">, a </w:t>
      </w:r>
      <w:r w:rsidR="00AD1F65">
        <w:rPr>
          <w:rFonts w:ascii="Times New Roman" w:hAnsi="Times New Roman" w:cs="Times New Roman"/>
          <w:sz w:val="24"/>
          <w:szCs w:val="24"/>
        </w:rPr>
        <w:t xml:space="preserve"> </w:t>
      </w:r>
      <w:r w:rsidR="00D46392">
        <w:rPr>
          <w:rFonts w:ascii="Times New Roman" w:hAnsi="Times New Roman" w:cs="Times New Roman"/>
          <w:sz w:val="24"/>
          <w:szCs w:val="24"/>
        </w:rPr>
        <w:t>7.537.040,45</w:t>
      </w:r>
      <w:r w:rsidR="003E2034" w:rsidRPr="00626CFC">
        <w:rPr>
          <w:rFonts w:ascii="Times New Roman" w:hAnsi="Times New Roman" w:cs="Times New Roman"/>
          <w:sz w:val="24"/>
          <w:szCs w:val="24"/>
        </w:rPr>
        <w:t xml:space="preserve"> eura</w:t>
      </w:r>
      <w:r w:rsidRPr="00626CFC">
        <w:rPr>
          <w:rFonts w:ascii="Times New Roman" w:hAnsi="Times New Roman" w:cs="Times New Roman"/>
          <w:sz w:val="24"/>
          <w:szCs w:val="24"/>
        </w:rPr>
        <w:t xml:space="preserve"> na rashode za nabavu nefinancijske imovine. U odnosu na Pla</w:t>
      </w:r>
      <w:r w:rsidR="00C905D2" w:rsidRPr="00626CFC">
        <w:rPr>
          <w:rFonts w:ascii="Times New Roman" w:hAnsi="Times New Roman" w:cs="Times New Roman"/>
          <w:sz w:val="24"/>
          <w:szCs w:val="24"/>
        </w:rPr>
        <w:t>n za 20</w:t>
      </w:r>
      <w:r w:rsidR="00E01F83" w:rsidRPr="00626CFC">
        <w:rPr>
          <w:rFonts w:ascii="Times New Roman" w:hAnsi="Times New Roman" w:cs="Times New Roman"/>
          <w:sz w:val="24"/>
          <w:szCs w:val="24"/>
        </w:rPr>
        <w:t>2</w:t>
      </w:r>
      <w:r w:rsidR="00D46392">
        <w:rPr>
          <w:rFonts w:ascii="Times New Roman" w:hAnsi="Times New Roman" w:cs="Times New Roman"/>
          <w:sz w:val="24"/>
          <w:szCs w:val="24"/>
        </w:rPr>
        <w:t>5</w:t>
      </w:r>
      <w:r w:rsidR="00C905D2" w:rsidRPr="00626CFC">
        <w:rPr>
          <w:rFonts w:ascii="Times New Roman" w:hAnsi="Times New Roman" w:cs="Times New Roman"/>
          <w:sz w:val="24"/>
          <w:szCs w:val="24"/>
        </w:rPr>
        <w:t xml:space="preserve">. godinu ostvareno je </w:t>
      </w:r>
      <w:r w:rsidR="00D46392">
        <w:rPr>
          <w:rFonts w:ascii="Times New Roman" w:hAnsi="Times New Roman" w:cs="Times New Roman"/>
          <w:sz w:val="24"/>
          <w:szCs w:val="24"/>
        </w:rPr>
        <w:t>37</w:t>
      </w:r>
      <w:r w:rsidR="003E2034" w:rsidRPr="00626CFC">
        <w:rPr>
          <w:rFonts w:ascii="Times New Roman" w:hAnsi="Times New Roman" w:cs="Times New Roman"/>
          <w:sz w:val="24"/>
          <w:szCs w:val="24"/>
        </w:rPr>
        <w:t xml:space="preserve">% </w:t>
      </w:r>
      <w:r w:rsidRPr="00626CFC">
        <w:rPr>
          <w:rFonts w:ascii="Times New Roman" w:hAnsi="Times New Roman" w:cs="Times New Roman"/>
          <w:sz w:val="24"/>
          <w:szCs w:val="24"/>
        </w:rPr>
        <w:t xml:space="preserve"> ukupnih rashoda </w:t>
      </w:r>
      <w:r w:rsidR="00ED6DF5" w:rsidRPr="00626CFC">
        <w:rPr>
          <w:rFonts w:ascii="Times New Roman" w:hAnsi="Times New Roman" w:cs="Times New Roman"/>
          <w:sz w:val="24"/>
          <w:szCs w:val="24"/>
        </w:rPr>
        <w:t xml:space="preserve">koji su 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za </w:t>
      </w:r>
      <w:r w:rsidR="00D46392">
        <w:rPr>
          <w:rFonts w:ascii="Times New Roman" w:hAnsi="Times New Roman" w:cs="Times New Roman"/>
          <w:sz w:val="24"/>
          <w:szCs w:val="24"/>
        </w:rPr>
        <w:t>44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% </w:t>
      </w:r>
      <w:r w:rsidR="00521DA5" w:rsidRPr="00626CFC">
        <w:rPr>
          <w:rFonts w:ascii="Times New Roman" w:hAnsi="Times New Roman" w:cs="Times New Roman"/>
          <w:sz w:val="24"/>
          <w:szCs w:val="24"/>
        </w:rPr>
        <w:t xml:space="preserve"> </w:t>
      </w:r>
      <w:r w:rsidR="009659A4" w:rsidRPr="00626CFC">
        <w:rPr>
          <w:rFonts w:ascii="Times New Roman" w:hAnsi="Times New Roman" w:cs="Times New Roman"/>
          <w:sz w:val="24"/>
          <w:szCs w:val="24"/>
        </w:rPr>
        <w:t xml:space="preserve">veći 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od </w:t>
      </w:r>
      <w:r w:rsidRPr="00626CFC">
        <w:rPr>
          <w:rFonts w:ascii="Times New Roman" w:hAnsi="Times New Roman" w:cs="Times New Roman"/>
          <w:sz w:val="24"/>
          <w:szCs w:val="24"/>
        </w:rPr>
        <w:t>ostvarenja u prvoj polovini prethodne godine.</w:t>
      </w:r>
      <w:r w:rsidR="00C40125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U tablici u nastavku </w:t>
      </w:r>
      <w:r w:rsidR="00E87344" w:rsidRPr="00626CFC">
        <w:rPr>
          <w:rFonts w:ascii="Times New Roman" w:hAnsi="Times New Roman" w:cs="Times New Roman"/>
          <w:sz w:val="24"/>
          <w:szCs w:val="24"/>
        </w:rPr>
        <w:t>prikaz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ano je </w:t>
      </w:r>
      <w:r w:rsidR="00E87344" w:rsidRPr="00626CFC">
        <w:rPr>
          <w:rFonts w:ascii="Times New Roman" w:hAnsi="Times New Roman" w:cs="Times New Roman"/>
          <w:sz w:val="24"/>
          <w:szCs w:val="24"/>
        </w:rPr>
        <w:t xml:space="preserve"> izvršenj</w:t>
      </w:r>
      <w:r w:rsidR="00856ED5" w:rsidRPr="00626CFC">
        <w:rPr>
          <w:rFonts w:ascii="Times New Roman" w:hAnsi="Times New Roman" w:cs="Times New Roman"/>
          <w:sz w:val="24"/>
          <w:szCs w:val="24"/>
        </w:rPr>
        <w:t>e</w:t>
      </w:r>
      <w:r w:rsidR="00E87344" w:rsidRPr="00626CFC">
        <w:rPr>
          <w:rFonts w:ascii="Times New Roman" w:hAnsi="Times New Roman" w:cs="Times New Roman"/>
          <w:sz w:val="24"/>
          <w:szCs w:val="24"/>
        </w:rPr>
        <w:t xml:space="preserve"> rashoda </w:t>
      </w:r>
      <w:r w:rsidR="002C2D56" w:rsidRPr="00626CFC">
        <w:rPr>
          <w:rFonts w:ascii="Times New Roman" w:hAnsi="Times New Roman" w:cs="Times New Roman"/>
          <w:sz w:val="24"/>
          <w:szCs w:val="24"/>
        </w:rPr>
        <w:t xml:space="preserve"> po vrstam</w:t>
      </w:r>
      <w:r w:rsidR="00ED5077" w:rsidRPr="00626CFC">
        <w:rPr>
          <w:rFonts w:ascii="Times New Roman" w:hAnsi="Times New Roman" w:cs="Times New Roman"/>
          <w:sz w:val="24"/>
          <w:szCs w:val="24"/>
        </w:rPr>
        <w:t xml:space="preserve">a  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te </w:t>
      </w:r>
      <w:r w:rsidR="00ED5077" w:rsidRPr="00626CFC">
        <w:rPr>
          <w:rFonts w:ascii="Times New Roman" w:hAnsi="Times New Roman" w:cs="Times New Roman"/>
          <w:sz w:val="24"/>
          <w:szCs w:val="24"/>
        </w:rPr>
        <w:t xml:space="preserve"> usporedb</w:t>
      </w:r>
      <w:r w:rsidR="00856ED5" w:rsidRPr="00626CFC">
        <w:rPr>
          <w:rFonts w:ascii="Times New Roman" w:hAnsi="Times New Roman" w:cs="Times New Roman"/>
          <w:sz w:val="24"/>
          <w:szCs w:val="24"/>
        </w:rPr>
        <w:t>a</w:t>
      </w:r>
      <w:r w:rsidR="00ED5077" w:rsidRPr="00626CFC">
        <w:rPr>
          <w:rFonts w:ascii="Times New Roman" w:hAnsi="Times New Roman" w:cs="Times New Roman"/>
          <w:sz w:val="24"/>
          <w:szCs w:val="24"/>
        </w:rPr>
        <w:t xml:space="preserve"> s realizacijom u prethodnoj godini</w:t>
      </w:r>
      <w:r w:rsidR="00AD0276">
        <w:rPr>
          <w:rFonts w:ascii="Times New Roman" w:hAnsi="Times New Roman" w:cs="Times New Roman"/>
          <w:sz w:val="24"/>
          <w:szCs w:val="24"/>
        </w:rPr>
        <w:t>.</w:t>
      </w:r>
    </w:p>
    <w:p w14:paraId="01E037B7" w14:textId="3EFF72F0" w:rsidR="00AD0276" w:rsidRPr="00AD0276" w:rsidRDefault="00AD0276" w:rsidP="00626C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Tablica 6. REALIZACIJA UKUPNIH RASHODA</w:t>
      </w:r>
    </w:p>
    <w:tbl>
      <w:tblPr>
        <w:tblStyle w:val="Tamnatablicareetke5-isticanje1"/>
        <w:tblW w:w="8520" w:type="dxa"/>
        <w:tblInd w:w="559" w:type="dxa"/>
        <w:tblLayout w:type="fixed"/>
        <w:tblLook w:val="04A0" w:firstRow="1" w:lastRow="0" w:firstColumn="1" w:lastColumn="0" w:noHBand="0" w:noVBand="1"/>
      </w:tblPr>
      <w:tblGrid>
        <w:gridCol w:w="583"/>
        <w:gridCol w:w="3118"/>
        <w:gridCol w:w="1984"/>
        <w:gridCol w:w="1843"/>
        <w:gridCol w:w="992"/>
      </w:tblGrid>
      <w:tr w:rsidR="00B307AD" w:rsidRPr="003E2034" w14:paraId="56FEDCC9" w14:textId="77777777" w:rsidTr="00A32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noWrap/>
            <w:hideMark/>
          </w:tcPr>
          <w:p w14:paraId="14DE48DF" w14:textId="77777777" w:rsidR="001E5746" w:rsidRPr="00A32EC2" w:rsidRDefault="001E5746">
            <w:pPr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118" w:type="dxa"/>
            <w:noWrap/>
            <w:hideMark/>
          </w:tcPr>
          <w:p w14:paraId="2E9E4883" w14:textId="77777777" w:rsidR="001E5746" w:rsidRPr="003E2034" w:rsidRDefault="001E5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984" w:type="dxa"/>
            <w:noWrap/>
            <w:hideMark/>
          </w:tcPr>
          <w:p w14:paraId="09509798" w14:textId="77777777" w:rsidR="001E5746" w:rsidRPr="003E2034" w:rsidRDefault="001E5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4F81BD" w:themeColor="accent1"/>
                <w:highlight w:val="yellow"/>
                <w:lang w:eastAsia="en-US"/>
              </w:rPr>
            </w:pPr>
          </w:p>
        </w:tc>
        <w:tc>
          <w:tcPr>
            <w:tcW w:w="1843" w:type="dxa"/>
            <w:noWrap/>
            <w:hideMark/>
          </w:tcPr>
          <w:p w14:paraId="73D45910" w14:textId="77777777" w:rsidR="001E5746" w:rsidRPr="003E2034" w:rsidRDefault="001E5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4F81BD" w:themeColor="accent1"/>
                <w:highlight w:val="yellow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14:paraId="3469B984" w14:textId="77777777" w:rsidR="001E5746" w:rsidRPr="003E2034" w:rsidRDefault="001E5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4F81BD" w:themeColor="accent1"/>
                <w:highlight w:val="yellow"/>
                <w:lang w:eastAsia="en-US"/>
              </w:rPr>
            </w:pPr>
          </w:p>
        </w:tc>
      </w:tr>
      <w:tr w:rsidR="00B307AD" w:rsidRPr="003E2034" w14:paraId="56A2C576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noWrap/>
            <w:hideMark/>
          </w:tcPr>
          <w:p w14:paraId="0A68F113" w14:textId="77777777" w:rsidR="00D44379" w:rsidRPr="00A32EC2" w:rsidRDefault="00D44379" w:rsidP="003A0337">
            <w:pPr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118" w:type="dxa"/>
            <w:noWrap/>
            <w:hideMark/>
          </w:tcPr>
          <w:p w14:paraId="76F52883" w14:textId="77777777" w:rsidR="00D44379" w:rsidRPr="00E41EB2" w:rsidRDefault="00D44379" w:rsidP="003A0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VRSTA RASHODA</w:t>
            </w:r>
          </w:p>
          <w:p w14:paraId="362015CA" w14:textId="77777777" w:rsidR="00D44379" w:rsidRPr="00E41EB2" w:rsidRDefault="00D44379" w:rsidP="003A0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07F0A4F4" w14:textId="77777777" w:rsidR="00D44379" w:rsidRPr="00E41EB2" w:rsidRDefault="00D44379" w:rsidP="00C0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OSTVARENJE</w:t>
            </w:r>
          </w:p>
          <w:p w14:paraId="35F4CB74" w14:textId="11119B8E" w:rsidR="00D44379" w:rsidRPr="00E41EB2" w:rsidRDefault="00D44379" w:rsidP="003E2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I-VI 20</w:t>
            </w:r>
            <w:r w:rsidR="00920200"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46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noWrap/>
            <w:hideMark/>
          </w:tcPr>
          <w:p w14:paraId="0B2DFE6E" w14:textId="77777777" w:rsidR="00D44379" w:rsidRPr="00E41EB2" w:rsidRDefault="00D44379" w:rsidP="00C0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OSTVARENJE</w:t>
            </w:r>
          </w:p>
          <w:p w14:paraId="7E867AE7" w14:textId="0D1077CE" w:rsidR="00D44379" w:rsidRPr="00E41EB2" w:rsidRDefault="00D44379" w:rsidP="003E2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I-VI 20</w:t>
            </w:r>
            <w:r w:rsidR="00840C3D"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46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825F1EC" w14:textId="77777777" w:rsidR="00D44379" w:rsidRPr="00E41EB2" w:rsidRDefault="00D44379" w:rsidP="00C0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INDEKS</w:t>
            </w:r>
          </w:p>
          <w:p w14:paraId="32BEA3E8" w14:textId="77777777" w:rsidR="00D44379" w:rsidRPr="00E41EB2" w:rsidRDefault="00D44379" w:rsidP="00C0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6392" w:rsidRPr="00B307AD" w14:paraId="600D27FD" w14:textId="77777777" w:rsidTr="00A32E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3D7E12F7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3" w:name="_Hlk173830476"/>
            <w:r w:rsidRPr="00A32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I.</w:t>
            </w:r>
          </w:p>
        </w:tc>
        <w:tc>
          <w:tcPr>
            <w:tcW w:w="3118" w:type="dxa"/>
            <w:hideMark/>
          </w:tcPr>
          <w:p w14:paraId="28AA5211" w14:textId="77777777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TEKUĆI RASHODI</w:t>
            </w:r>
          </w:p>
        </w:tc>
        <w:tc>
          <w:tcPr>
            <w:tcW w:w="1984" w:type="dxa"/>
          </w:tcPr>
          <w:p w14:paraId="291B22D4" w14:textId="0DCDF611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13.937.886</w:t>
            </w:r>
          </w:p>
        </w:tc>
        <w:tc>
          <w:tcPr>
            <w:tcW w:w="1843" w:type="dxa"/>
          </w:tcPr>
          <w:p w14:paraId="1113F1E4" w14:textId="2CF50CA6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2C6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8.398.796</w:t>
            </w:r>
          </w:p>
        </w:tc>
        <w:tc>
          <w:tcPr>
            <w:tcW w:w="992" w:type="dxa"/>
          </w:tcPr>
          <w:p w14:paraId="45336742" w14:textId="3ADF040A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2C6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46392" w:rsidRPr="00B307AD" w14:paraId="3B8F335D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73C40D04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4334592D" w14:textId="77777777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Rashodi za zaposlene</w:t>
            </w:r>
          </w:p>
        </w:tc>
        <w:tc>
          <w:tcPr>
            <w:tcW w:w="1984" w:type="dxa"/>
          </w:tcPr>
          <w:p w14:paraId="4A4DDD9A" w14:textId="230779B6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7.186.303</w:t>
            </w:r>
          </w:p>
        </w:tc>
        <w:tc>
          <w:tcPr>
            <w:tcW w:w="1843" w:type="dxa"/>
          </w:tcPr>
          <w:p w14:paraId="283B3703" w14:textId="70EB46A5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9.306.748</w:t>
            </w:r>
          </w:p>
        </w:tc>
        <w:tc>
          <w:tcPr>
            <w:tcW w:w="992" w:type="dxa"/>
          </w:tcPr>
          <w:p w14:paraId="02BA2E4F" w14:textId="141E0D52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D46392" w:rsidRPr="00B307AD" w14:paraId="41EE829A" w14:textId="77777777" w:rsidTr="00A32E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7FB24622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753984E7" w14:textId="77777777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Materijalni rashodi</w:t>
            </w:r>
          </w:p>
        </w:tc>
        <w:tc>
          <w:tcPr>
            <w:tcW w:w="1984" w:type="dxa"/>
          </w:tcPr>
          <w:p w14:paraId="3AAC8A2E" w14:textId="378F43D3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3.599.492</w:t>
            </w:r>
          </w:p>
        </w:tc>
        <w:tc>
          <w:tcPr>
            <w:tcW w:w="1843" w:type="dxa"/>
          </w:tcPr>
          <w:p w14:paraId="083DCEB9" w14:textId="2D6D209A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4.872.707</w:t>
            </w:r>
          </w:p>
        </w:tc>
        <w:tc>
          <w:tcPr>
            <w:tcW w:w="992" w:type="dxa"/>
          </w:tcPr>
          <w:p w14:paraId="463031AD" w14:textId="44FB0CDF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D46392" w:rsidRPr="00B307AD" w14:paraId="535FA16B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76153618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6C922FE" w14:textId="77777777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Financijski rashodi</w:t>
            </w:r>
          </w:p>
        </w:tc>
        <w:tc>
          <w:tcPr>
            <w:tcW w:w="1984" w:type="dxa"/>
          </w:tcPr>
          <w:p w14:paraId="0D502FE3" w14:textId="764BD7F5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78.468</w:t>
            </w:r>
          </w:p>
        </w:tc>
        <w:tc>
          <w:tcPr>
            <w:tcW w:w="1843" w:type="dxa"/>
          </w:tcPr>
          <w:p w14:paraId="5849C120" w14:textId="1C90752B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145.124</w:t>
            </w:r>
          </w:p>
        </w:tc>
        <w:tc>
          <w:tcPr>
            <w:tcW w:w="992" w:type="dxa"/>
          </w:tcPr>
          <w:p w14:paraId="2082C22B" w14:textId="087834D3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D46392" w:rsidRPr="00B307AD" w14:paraId="6B34905D" w14:textId="77777777" w:rsidTr="00A32E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16C06FBF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6F8BBF1C" w14:textId="77777777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Subvencije</w:t>
            </w:r>
          </w:p>
        </w:tc>
        <w:tc>
          <w:tcPr>
            <w:tcW w:w="1984" w:type="dxa"/>
          </w:tcPr>
          <w:p w14:paraId="5F2F955F" w14:textId="2555CFD9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354.293</w:t>
            </w:r>
          </w:p>
        </w:tc>
        <w:tc>
          <w:tcPr>
            <w:tcW w:w="1843" w:type="dxa"/>
          </w:tcPr>
          <w:p w14:paraId="3F82559F" w14:textId="435B49AE" w:rsidR="00D46392" w:rsidRPr="00E41EB2" w:rsidRDefault="00B87486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417.664</w:t>
            </w:r>
          </w:p>
        </w:tc>
        <w:tc>
          <w:tcPr>
            <w:tcW w:w="992" w:type="dxa"/>
          </w:tcPr>
          <w:p w14:paraId="061B9520" w14:textId="6E13A1BE" w:rsidR="00D46392" w:rsidRPr="00E41EB2" w:rsidRDefault="00B87486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D46392" w:rsidRPr="00B307AD" w14:paraId="54882A59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5A933246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5BFC963F" w14:textId="77777777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Pomoći</w:t>
            </w:r>
          </w:p>
        </w:tc>
        <w:tc>
          <w:tcPr>
            <w:tcW w:w="1984" w:type="dxa"/>
          </w:tcPr>
          <w:p w14:paraId="041CE188" w14:textId="4F194411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518.848</w:t>
            </w:r>
          </w:p>
        </w:tc>
        <w:tc>
          <w:tcPr>
            <w:tcW w:w="1843" w:type="dxa"/>
          </w:tcPr>
          <w:p w14:paraId="6304CE6F" w14:textId="727D7703" w:rsidR="00D46392" w:rsidRPr="00E41EB2" w:rsidRDefault="00B87486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450.443</w:t>
            </w:r>
          </w:p>
        </w:tc>
        <w:tc>
          <w:tcPr>
            <w:tcW w:w="992" w:type="dxa"/>
          </w:tcPr>
          <w:p w14:paraId="4A7062B9" w14:textId="3814B6EA" w:rsidR="00D46392" w:rsidRPr="00E41EB2" w:rsidRDefault="00B87486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D46392" w:rsidRPr="00B307AD" w14:paraId="3A0A28DC" w14:textId="77777777" w:rsidTr="00A32E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06CD7BB1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140EE33C" w14:textId="77777777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Naknade građanima i kućanstvima</w:t>
            </w:r>
          </w:p>
        </w:tc>
        <w:tc>
          <w:tcPr>
            <w:tcW w:w="1984" w:type="dxa"/>
          </w:tcPr>
          <w:p w14:paraId="1A30358A" w14:textId="34E29380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644.825</w:t>
            </w:r>
          </w:p>
        </w:tc>
        <w:tc>
          <w:tcPr>
            <w:tcW w:w="1843" w:type="dxa"/>
          </w:tcPr>
          <w:p w14:paraId="4682A036" w14:textId="5746F583" w:rsidR="00D46392" w:rsidRPr="00E41EB2" w:rsidRDefault="00B87486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1.022.539</w:t>
            </w:r>
          </w:p>
        </w:tc>
        <w:tc>
          <w:tcPr>
            <w:tcW w:w="992" w:type="dxa"/>
          </w:tcPr>
          <w:p w14:paraId="1C49107C" w14:textId="43CD4583" w:rsidR="00D46392" w:rsidRPr="00E41EB2" w:rsidRDefault="00B87486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D46392" w:rsidRPr="00B307AD" w14:paraId="6005EF00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32CE4229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DCCE840" w14:textId="77777777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Tekuće donacije</w:t>
            </w:r>
          </w:p>
        </w:tc>
        <w:tc>
          <w:tcPr>
            <w:tcW w:w="1984" w:type="dxa"/>
          </w:tcPr>
          <w:p w14:paraId="28F6B26C" w14:textId="2DE3AA9A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1.054.155</w:t>
            </w:r>
          </w:p>
        </w:tc>
        <w:tc>
          <w:tcPr>
            <w:tcW w:w="1843" w:type="dxa"/>
          </w:tcPr>
          <w:p w14:paraId="1B27A48A" w14:textId="1E1374CD" w:rsidR="00D46392" w:rsidRPr="00E41EB2" w:rsidRDefault="00B87486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1.908.366</w:t>
            </w:r>
          </w:p>
        </w:tc>
        <w:tc>
          <w:tcPr>
            <w:tcW w:w="992" w:type="dxa"/>
          </w:tcPr>
          <w:p w14:paraId="5AE00AA9" w14:textId="47CB2126" w:rsidR="00D46392" w:rsidRPr="00E41EB2" w:rsidRDefault="00B87486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D46392" w:rsidRPr="00B307AD" w14:paraId="194F46BF" w14:textId="77777777" w:rsidTr="00A32EC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14:paraId="5EAECBA2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C6F09F" w14:textId="77777777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Kapitalne donacije</w:t>
            </w:r>
          </w:p>
        </w:tc>
        <w:tc>
          <w:tcPr>
            <w:tcW w:w="1984" w:type="dxa"/>
          </w:tcPr>
          <w:p w14:paraId="5509FDBE" w14:textId="3BDFA3C4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23.711</w:t>
            </w:r>
          </w:p>
        </w:tc>
        <w:tc>
          <w:tcPr>
            <w:tcW w:w="1843" w:type="dxa"/>
          </w:tcPr>
          <w:p w14:paraId="7B585722" w14:textId="600B6D6B" w:rsidR="00D46392" w:rsidRPr="00E41EB2" w:rsidRDefault="00B87486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64.300</w:t>
            </w:r>
          </w:p>
        </w:tc>
        <w:tc>
          <w:tcPr>
            <w:tcW w:w="992" w:type="dxa"/>
          </w:tcPr>
          <w:p w14:paraId="0713AFE3" w14:textId="75FDAC23" w:rsidR="00D46392" w:rsidRPr="00E41EB2" w:rsidRDefault="00B87486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D46392" w:rsidRPr="00B307AD" w14:paraId="7B02193A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0BA3DE7C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89AF950" w14:textId="77777777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Kapitalne pomoći</w:t>
            </w:r>
          </w:p>
        </w:tc>
        <w:tc>
          <w:tcPr>
            <w:tcW w:w="1984" w:type="dxa"/>
          </w:tcPr>
          <w:p w14:paraId="5C5B49BA" w14:textId="2C277D5E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477.786</w:t>
            </w:r>
          </w:p>
        </w:tc>
        <w:tc>
          <w:tcPr>
            <w:tcW w:w="1843" w:type="dxa"/>
          </w:tcPr>
          <w:p w14:paraId="35285257" w14:textId="6ECBF7E4" w:rsidR="00D46392" w:rsidRPr="00E41EB2" w:rsidRDefault="00B87486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255.903</w:t>
            </w:r>
          </w:p>
        </w:tc>
        <w:tc>
          <w:tcPr>
            <w:tcW w:w="992" w:type="dxa"/>
          </w:tcPr>
          <w:p w14:paraId="66EBB16A" w14:textId="5809F2F7" w:rsidR="00D46392" w:rsidRPr="00E41EB2" w:rsidRDefault="00B87486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D46392" w:rsidRPr="00B307AD" w14:paraId="2E242C84" w14:textId="77777777" w:rsidTr="00F54EDF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1A8ED197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II.</w:t>
            </w:r>
          </w:p>
          <w:p w14:paraId="740B49B8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70181D10" w14:textId="77777777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RASHODI ZA NABAVU NEFINANCIJSKE IMOVINE</w:t>
            </w:r>
          </w:p>
        </w:tc>
        <w:tc>
          <w:tcPr>
            <w:tcW w:w="1984" w:type="dxa"/>
          </w:tcPr>
          <w:p w14:paraId="681FED84" w14:textId="047B64BB" w:rsidR="00D46392" w:rsidRPr="00E41EB2" w:rsidRDefault="00D46392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4.096.194</w:t>
            </w:r>
          </w:p>
        </w:tc>
        <w:tc>
          <w:tcPr>
            <w:tcW w:w="1843" w:type="dxa"/>
          </w:tcPr>
          <w:p w14:paraId="2BE7C0CA" w14:textId="58A8757F" w:rsidR="00D46392" w:rsidRPr="00E41EB2" w:rsidRDefault="00B87486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7.537.040</w:t>
            </w:r>
          </w:p>
        </w:tc>
        <w:tc>
          <w:tcPr>
            <w:tcW w:w="992" w:type="dxa"/>
          </w:tcPr>
          <w:p w14:paraId="74DBC512" w14:textId="1BA83CA9" w:rsidR="00D46392" w:rsidRPr="00E41EB2" w:rsidRDefault="00B87486" w:rsidP="00D46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184</w:t>
            </w:r>
          </w:p>
        </w:tc>
      </w:tr>
      <w:tr w:rsidR="00D46392" w:rsidRPr="00B307AD" w14:paraId="1C6260CC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36EAB7FC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yellow"/>
              </w:rPr>
            </w:pPr>
          </w:p>
          <w:p w14:paraId="65A11696" w14:textId="77777777" w:rsidR="00D46392" w:rsidRPr="00A32EC2" w:rsidRDefault="00D46392" w:rsidP="00D46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hideMark/>
          </w:tcPr>
          <w:p w14:paraId="6FEC62BD" w14:textId="77777777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UKUPNI RASHODI</w:t>
            </w:r>
          </w:p>
        </w:tc>
        <w:tc>
          <w:tcPr>
            <w:tcW w:w="1984" w:type="dxa"/>
          </w:tcPr>
          <w:p w14:paraId="5A94DC3A" w14:textId="3CF9AA7C" w:rsidR="00D46392" w:rsidRPr="00E41EB2" w:rsidRDefault="00D46392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18.034.080</w:t>
            </w:r>
          </w:p>
        </w:tc>
        <w:tc>
          <w:tcPr>
            <w:tcW w:w="1843" w:type="dxa"/>
          </w:tcPr>
          <w:p w14:paraId="1BD188BF" w14:textId="58846E80" w:rsidR="00D46392" w:rsidRPr="00E41EB2" w:rsidRDefault="00B87486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25.935.837</w:t>
            </w:r>
          </w:p>
        </w:tc>
        <w:tc>
          <w:tcPr>
            <w:tcW w:w="992" w:type="dxa"/>
          </w:tcPr>
          <w:p w14:paraId="5077BB89" w14:textId="1243F4F8" w:rsidR="00D46392" w:rsidRPr="00E41EB2" w:rsidRDefault="00B87486" w:rsidP="00D46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874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</w:t>
            </w:r>
          </w:p>
        </w:tc>
      </w:tr>
      <w:bookmarkEnd w:id="3"/>
    </w:tbl>
    <w:p w14:paraId="689DA9EC" w14:textId="42E6F458" w:rsidR="00E161B4" w:rsidRPr="00B307AD" w:rsidRDefault="00E161B4" w:rsidP="000139E8">
      <w:pPr>
        <w:jc w:val="both"/>
        <w:rPr>
          <w:rFonts w:ascii="Arial" w:hAnsi="Arial" w:cs="Arial"/>
          <w:color w:val="4F81BD" w:themeColor="accent1"/>
        </w:rPr>
      </w:pPr>
    </w:p>
    <w:p w14:paraId="743C99C2" w14:textId="7173BEF3" w:rsidR="007E3E39" w:rsidRPr="001F21B4" w:rsidRDefault="000735EC" w:rsidP="000735EC">
      <w:pPr>
        <w:ind w:left="851"/>
        <w:rPr>
          <w:rFonts w:ascii="Times New Roman" w:hAnsi="Times New Roman" w:cs="Times New Roman"/>
          <w:b/>
          <w:sz w:val="24"/>
          <w:szCs w:val="24"/>
        </w:rPr>
      </w:pPr>
      <w:r w:rsidRPr="001F21B4">
        <w:rPr>
          <w:rFonts w:ascii="Times New Roman" w:hAnsi="Times New Roman" w:cs="Times New Roman"/>
          <w:b/>
          <w:sz w:val="24"/>
          <w:szCs w:val="24"/>
        </w:rPr>
        <w:t>4.1.</w:t>
      </w:r>
      <w:r w:rsidR="00A32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1B4">
        <w:rPr>
          <w:rFonts w:ascii="Times New Roman" w:hAnsi="Times New Roman" w:cs="Times New Roman"/>
          <w:b/>
          <w:sz w:val="24"/>
          <w:szCs w:val="24"/>
        </w:rPr>
        <w:t>RASHODI ZA ZAPOSLENE</w:t>
      </w:r>
    </w:p>
    <w:p w14:paraId="18467A89" w14:textId="77777777" w:rsidR="00F54EDF" w:rsidRDefault="005F1892" w:rsidP="009F2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</w:t>
      </w:r>
      <w:r w:rsidR="00F54EDF"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F54E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r</w:t>
      </w:r>
      <w:r w:rsidR="001469DC" w:rsidRPr="001F21B4">
        <w:rPr>
          <w:rFonts w:ascii="Times New Roman" w:hAnsi="Times New Roman" w:cs="Times New Roman"/>
          <w:sz w:val="24"/>
          <w:szCs w:val="24"/>
        </w:rPr>
        <w:t>ashodi za zapos</w:t>
      </w:r>
      <w:r w:rsidR="009750E7" w:rsidRPr="001F21B4">
        <w:rPr>
          <w:rFonts w:ascii="Times New Roman" w:hAnsi="Times New Roman" w:cs="Times New Roman"/>
          <w:sz w:val="24"/>
          <w:szCs w:val="24"/>
        </w:rPr>
        <w:t xml:space="preserve">lene planirani su u iznosu od </w:t>
      </w:r>
      <w:r w:rsidR="00323EF6">
        <w:rPr>
          <w:rFonts w:ascii="Times New Roman" w:hAnsi="Times New Roman" w:cs="Times New Roman"/>
          <w:sz w:val="24"/>
          <w:szCs w:val="24"/>
        </w:rPr>
        <w:t>1</w:t>
      </w:r>
      <w:r w:rsidR="00F54EDF">
        <w:rPr>
          <w:rFonts w:ascii="Times New Roman" w:hAnsi="Times New Roman" w:cs="Times New Roman"/>
          <w:sz w:val="24"/>
          <w:szCs w:val="24"/>
        </w:rPr>
        <w:t>9.125.051</w:t>
      </w:r>
      <w:r w:rsidR="00323EF6">
        <w:rPr>
          <w:rFonts w:ascii="Times New Roman" w:hAnsi="Times New Roman" w:cs="Times New Roman"/>
          <w:sz w:val="24"/>
          <w:szCs w:val="24"/>
        </w:rPr>
        <w:t xml:space="preserve"> eura </w:t>
      </w:r>
      <w:r w:rsidR="00494B5C" w:rsidRPr="001F21B4">
        <w:rPr>
          <w:rFonts w:ascii="Times New Roman" w:hAnsi="Times New Roman" w:cs="Times New Roman"/>
          <w:sz w:val="24"/>
          <w:szCs w:val="24"/>
        </w:rPr>
        <w:t xml:space="preserve">za </w:t>
      </w:r>
      <w:r w:rsidR="00B7009E" w:rsidRPr="001F21B4">
        <w:rPr>
          <w:rFonts w:ascii="Times New Roman" w:hAnsi="Times New Roman" w:cs="Times New Roman"/>
          <w:sz w:val="24"/>
          <w:szCs w:val="24"/>
        </w:rPr>
        <w:t>zaposlene</w:t>
      </w:r>
      <w:r w:rsidR="00494B5C" w:rsidRPr="001F21B4">
        <w:rPr>
          <w:rFonts w:ascii="Times New Roman" w:hAnsi="Times New Roman" w:cs="Times New Roman"/>
          <w:sz w:val="24"/>
          <w:szCs w:val="24"/>
        </w:rPr>
        <w:t xml:space="preserve"> u Gradskoj upravi i kod proračunskih korisni</w:t>
      </w:r>
      <w:r w:rsidR="00B7009E" w:rsidRPr="001F21B4">
        <w:rPr>
          <w:rFonts w:ascii="Times New Roman" w:hAnsi="Times New Roman" w:cs="Times New Roman"/>
          <w:sz w:val="24"/>
          <w:szCs w:val="24"/>
        </w:rPr>
        <w:t xml:space="preserve">ka, a obuhvaćaju bruto </w:t>
      </w:r>
      <w:r w:rsidR="000735EC" w:rsidRPr="001F21B4">
        <w:rPr>
          <w:rFonts w:ascii="Times New Roman" w:hAnsi="Times New Roman" w:cs="Times New Roman"/>
          <w:sz w:val="24"/>
          <w:szCs w:val="24"/>
        </w:rPr>
        <w:t xml:space="preserve"> </w:t>
      </w:r>
      <w:r w:rsidR="00B7009E" w:rsidRPr="001F21B4">
        <w:rPr>
          <w:rFonts w:ascii="Times New Roman" w:hAnsi="Times New Roman" w:cs="Times New Roman"/>
          <w:sz w:val="24"/>
          <w:szCs w:val="24"/>
        </w:rPr>
        <w:t xml:space="preserve">plaće za redovan i prekovremeni rad i doprinose na plaće. </w:t>
      </w:r>
      <w:r w:rsidR="000735EC" w:rsidRPr="001F21B4">
        <w:rPr>
          <w:rFonts w:ascii="Times New Roman" w:hAnsi="Times New Roman" w:cs="Times New Roman"/>
          <w:sz w:val="24"/>
          <w:szCs w:val="24"/>
        </w:rPr>
        <w:t>U prvom polugodištu realizirano je 4</w:t>
      </w:r>
      <w:r w:rsidR="00F54EDF">
        <w:rPr>
          <w:rFonts w:ascii="Times New Roman" w:hAnsi="Times New Roman" w:cs="Times New Roman"/>
          <w:sz w:val="24"/>
          <w:szCs w:val="24"/>
        </w:rPr>
        <w:t>9</w:t>
      </w:r>
      <w:r w:rsidR="00B7009E" w:rsidRPr="001F21B4">
        <w:rPr>
          <w:rFonts w:ascii="Times New Roman" w:hAnsi="Times New Roman" w:cs="Times New Roman"/>
          <w:sz w:val="24"/>
          <w:szCs w:val="24"/>
        </w:rPr>
        <w:t>%</w:t>
      </w:r>
      <w:r w:rsidR="000735EC" w:rsidRPr="001F21B4">
        <w:rPr>
          <w:rFonts w:ascii="Times New Roman" w:hAnsi="Times New Roman" w:cs="Times New Roman"/>
          <w:sz w:val="24"/>
          <w:szCs w:val="24"/>
        </w:rPr>
        <w:t xml:space="preserve"> planiranih rashoda</w:t>
      </w:r>
      <w:r w:rsidR="00391CA4">
        <w:rPr>
          <w:rFonts w:ascii="Times New Roman" w:hAnsi="Times New Roman" w:cs="Times New Roman"/>
          <w:sz w:val="24"/>
          <w:szCs w:val="24"/>
        </w:rPr>
        <w:t>, odno</w:t>
      </w:r>
      <w:r w:rsidR="00257E7C">
        <w:rPr>
          <w:rFonts w:ascii="Times New Roman" w:hAnsi="Times New Roman" w:cs="Times New Roman"/>
          <w:sz w:val="24"/>
          <w:szCs w:val="24"/>
        </w:rPr>
        <w:t xml:space="preserve">sno </w:t>
      </w:r>
      <w:r w:rsidR="00F54EDF">
        <w:rPr>
          <w:rFonts w:ascii="Times New Roman" w:hAnsi="Times New Roman" w:cs="Times New Roman"/>
          <w:sz w:val="24"/>
          <w:szCs w:val="24"/>
        </w:rPr>
        <w:t>9.306.748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E7C">
        <w:rPr>
          <w:rFonts w:ascii="Times New Roman" w:hAnsi="Times New Roman" w:cs="Times New Roman"/>
          <w:sz w:val="24"/>
          <w:szCs w:val="24"/>
        </w:rPr>
        <w:t>eura i</w:t>
      </w:r>
      <w:r w:rsidR="000735EC" w:rsidRPr="001F21B4">
        <w:rPr>
          <w:rFonts w:ascii="Times New Roman" w:hAnsi="Times New Roman" w:cs="Times New Roman"/>
          <w:sz w:val="24"/>
          <w:szCs w:val="24"/>
        </w:rPr>
        <w:t xml:space="preserve"> u odnosu na isto razdoblje prethodne </w:t>
      </w:r>
      <w:r w:rsidR="00C60F67" w:rsidRPr="001F21B4">
        <w:rPr>
          <w:rFonts w:ascii="Times New Roman" w:hAnsi="Times New Roman" w:cs="Times New Roman"/>
          <w:sz w:val="24"/>
          <w:szCs w:val="24"/>
        </w:rPr>
        <w:t xml:space="preserve">godine </w:t>
      </w:r>
      <w:r w:rsidR="00250408">
        <w:rPr>
          <w:rFonts w:ascii="Times New Roman" w:hAnsi="Times New Roman" w:cs="Times New Roman"/>
          <w:sz w:val="24"/>
          <w:szCs w:val="24"/>
        </w:rPr>
        <w:t>veći</w:t>
      </w:r>
      <w:r w:rsidR="006928D0" w:rsidRPr="001F21B4">
        <w:rPr>
          <w:rFonts w:ascii="Times New Roman" w:hAnsi="Times New Roman" w:cs="Times New Roman"/>
          <w:sz w:val="24"/>
          <w:szCs w:val="24"/>
        </w:rPr>
        <w:t xml:space="preserve"> </w:t>
      </w:r>
      <w:r w:rsidR="00B7009E" w:rsidRPr="001F21B4">
        <w:rPr>
          <w:rFonts w:ascii="Times New Roman" w:hAnsi="Times New Roman" w:cs="Times New Roman"/>
          <w:sz w:val="24"/>
          <w:szCs w:val="24"/>
        </w:rPr>
        <w:t xml:space="preserve">su za </w:t>
      </w:r>
      <w:r w:rsidR="00F54EDF">
        <w:rPr>
          <w:rFonts w:ascii="Times New Roman" w:hAnsi="Times New Roman" w:cs="Times New Roman"/>
          <w:sz w:val="24"/>
          <w:szCs w:val="24"/>
        </w:rPr>
        <w:t>29</w:t>
      </w:r>
      <w:r w:rsidR="00B7009E" w:rsidRPr="001F21B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kao rezultat novih kolektivnih ugovora</w:t>
      </w:r>
      <w:r w:rsidR="00F54EDF">
        <w:rPr>
          <w:rFonts w:ascii="Times New Roman" w:hAnsi="Times New Roman" w:cs="Times New Roman"/>
          <w:sz w:val="24"/>
          <w:szCs w:val="24"/>
        </w:rPr>
        <w:t xml:space="preserve"> sklopljenih kod proračunskih korisnika. </w:t>
      </w:r>
      <w:r w:rsidR="00F32D1A">
        <w:rPr>
          <w:rFonts w:ascii="Times New Roman" w:hAnsi="Times New Roman" w:cs="Times New Roman"/>
          <w:sz w:val="24"/>
          <w:szCs w:val="24"/>
        </w:rPr>
        <w:t>R</w:t>
      </w:r>
      <w:r w:rsidR="00257E7C">
        <w:rPr>
          <w:rFonts w:ascii="Times New Roman" w:hAnsi="Times New Roman" w:cs="Times New Roman"/>
          <w:sz w:val="24"/>
          <w:szCs w:val="24"/>
        </w:rPr>
        <w:t xml:space="preserve">ashodi </w:t>
      </w:r>
      <w:r w:rsidR="00F32D1A">
        <w:rPr>
          <w:rFonts w:ascii="Times New Roman" w:hAnsi="Times New Roman" w:cs="Times New Roman"/>
          <w:sz w:val="24"/>
          <w:szCs w:val="24"/>
        </w:rPr>
        <w:t>z</w:t>
      </w:r>
      <w:r w:rsidR="00257E7C">
        <w:rPr>
          <w:rFonts w:ascii="Times New Roman" w:hAnsi="Times New Roman" w:cs="Times New Roman"/>
          <w:sz w:val="24"/>
          <w:szCs w:val="24"/>
        </w:rPr>
        <w:t xml:space="preserve">a </w:t>
      </w:r>
      <w:r w:rsidR="00257E7C">
        <w:rPr>
          <w:rFonts w:ascii="Times New Roman" w:hAnsi="Times New Roman" w:cs="Times New Roman"/>
          <w:sz w:val="24"/>
          <w:szCs w:val="24"/>
        </w:rPr>
        <w:lastRenderedPageBreak/>
        <w:t>zaposlene</w:t>
      </w:r>
      <w:r>
        <w:rPr>
          <w:rFonts w:ascii="Times New Roman" w:hAnsi="Times New Roman" w:cs="Times New Roman"/>
          <w:sz w:val="24"/>
          <w:szCs w:val="24"/>
        </w:rPr>
        <w:t xml:space="preserve">, osim iz </w:t>
      </w:r>
      <w:r w:rsidRPr="00FC0775">
        <w:rPr>
          <w:rFonts w:ascii="Times New Roman" w:hAnsi="Times New Roman" w:cs="Times New Roman"/>
          <w:sz w:val="24"/>
          <w:szCs w:val="24"/>
        </w:rPr>
        <w:t xml:space="preserve">državnog proračuna financiraju se i iz drugih </w:t>
      </w:r>
      <w:r w:rsidR="00F32D1A" w:rsidRPr="00FC0775">
        <w:rPr>
          <w:rFonts w:ascii="Times New Roman" w:hAnsi="Times New Roman" w:cs="Times New Roman"/>
          <w:sz w:val="24"/>
          <w:szCs w:val="24"/>
        </w:rPr>
        <w:t>izvora</w:t>
      </w:r>
      <w:r w:rsidR="00257E7C" w:rsidRPr="00FC0775">
        <w:rPr>
          <w:rFonts w:ascii="Times New Roman" w:hAnsi="Times New Roman" w:cs="Times New Roman"/>
          <w:sz w:val="24"/>
          <w:szCs w:val="24"/>
        </w:rPr>
        <w:t xml:space="preserve"> </w:t>
      </w:r>
      <w:r w:rsidR="00A00160" w:rsidRPr="00FC0775">
        <w:rPr>
          <w:rFonts w:ascii="Times New Roman" w:hAnsi="Times New Roman" w:cs="Times New Roman"/>
          <w:sz w:val="24"/>
          <w:szCs w:val="24"/>
        </w:rPr>
        <w:t>prikazanih u slijedećoj tabeli</w:t>
      </w:r>
      <w:r w:rsidR="00F54EDF">
        <w:rPr>
          <w:rFonts w:ascii="Times New Roman" w:hAnsi="Times New Roman" w:cs="Times New Roman"/>
          <w:sz w:val="24"/>
          <w:szCs w:val="24"/>
        </w:rPr>
        <w:t>.</w:t>
      </w:r>
    </w:p>
    <w:p w14:paraId="557C195F" w14:textId="1317EF5D" w:rsidR="00AD0276" w:rsidRPr="00F54EDF" w:rsidRDefault="00AD0276" w:rsidP="009F2546">
      <w:pPr>
        <w:jc w:val="both"/>
        <w:rPr>
          <w:rFonts w:ascii="Times New Roman" w:hAnsi="Times New Roman" w:cs="Times New Roman"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Tablica 7. RASHODI ZA ZAPOSLENE PO IZVORIMA FINANCIRANJA</w:t>
      </w:r>
    </w:p>
    <w:tbl>
      <w:tblPr>
        <w:tblStyle w:val="Tablicareetke3-isticanje3"/>
        <w:tblW w:w="6880" w:type="dxa"/>
        <w:tblLook w:val="04A0" w:firstRow="1" w:lastRow="0" w:firstColumn="1" w:lastColumn="0" w:noHBand="0" w:noVBand="1"/>
      </w:tblPr>
      <w:tblGrid>
        <w:gridCol w:w="4296"/>
        <w:gridCol w:w="1793"/>
        <w:gridCol w:w="791"/>
      </w:tblGrid>
      <w:tr w:rsidR="00FC0775" w:rsidRPr="00FC0775" w14:paraId="1CA9C962" w14:textId="77777777" w:rsidTr="00C80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6" w:type="dxa"/>
            <w:hideMark/>
          </w:tcPr>
          <w:p w14:paraId="577D4E1F" w14:textId="77777777" w:rsidR="00FC0775" w:rsidRPr="00FC0775" w:rsidRDefault="00FC0775" w:rsidP="00F54EDF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3" w:type="dxa"/>
            <w:hideMark/>
          </w:tcPr>
          <w:p w14:paraId="7D2AD5C6" w14:textId="77777777" w:rsidR="00FC0775" w:rsidRPr="00FC0775" w:rsidRDefault="00FC0775" w:rsidP="00FC07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REALIZIRANO</w:t>
            </w:r>
          </w:p>
        </w:tc>
        <w:tc>
          <w:tcPr>
            <w:tcW w:w="791" w:type="dxa"/>
            <w:hideMark/>
          </w:tcPr>
          <w:p w14:paraId="6F57F6F3" w14:textId="77777777" w:rsidR="00FC0775" w:rsidRPr="00FC0775" w:rsidRDefault="00FC0775" w:rsidP="00FC07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UDIO</w:t>
            </w:r>
          </w:p>
        </w:tc>
      </w:tr>
      <w:tr w:rsidR="00FC0775" w:rsidRPr="00FC0775" w14:paraId="7E50E0BE" w14:textId="77777777" w:rsidTr="003A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389F66E1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SVEUKUPNO RASHODI / IZDACI</w:t>
            </w:r>
          </w:p>
        </w:tc>
        <w:tc>
          <w:tcPr>
            <w:tcW w:w="1303" w:type="dxa"/>
          </w:tcPr>
          <w:p w14:paraId="563A9B01" w14:textId="753950F0" w:rsidR="00FC0775" w:rsidRPr="00FC0775" w:rsidRDefault="003A24F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9.306.748</w:t>
            </w:r>
          </w:p>
        </w:tc>
        <w:tc>
          <w:tcPr>
            <w:tcW w:w="791" w:type="dxa"/>
            <w:hideMark/>
          </w:tcPr>
          <w:p w14:paraId="21596A54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</w:tr>
      <w:tr w:rsidR="00FC0775" w:rsidRPr="00FC0775" w14:paraId="2B705E0A" w14:textId="77777777" w:rsidTr="003A24F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7FCADD1E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Opći prihodi i primici</w:t>
            </w:r>
          </w:p>
        </w:tc>
        <w:tc>
          <w:tcPr>
            <w:tcW w:w="1303" w:type="dxa"/>
          </w:tcPr>
          <w:p w14:paraId="2491D118" w14:textId="3D136967" w:rsidR="00FC0775" w:rsidRPr="00FC0775" w:rsidRDefault="003A24F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4.238.875</w:t>
            </w:r>
          </w:p>
        </w:tc>
        <w:tc>
          <w:tcPr>
            <w:tcW w:w="791" w:type="dxa"/>
            <w:hideMark/>
          </w:tcPr>
          <w:p w14:paraId="090F4FAD" w14:textId="5AF868DF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3A24F5">
              <w:rPr>
                <w:rFonts w:ascii="Times New Roman" w:eastAsia="Times New Roman" w:hAnsi="Times New Roman" w:cs="Times New Roman"/>
                <w:b/>
                <w:bCs/>
              </w:rPr>
              <w:t>5,6</w:t>
            </w:r>
          </w:p>
        </w:tc>
      </w:tr>
      <w:tr w:rsidR="00FC0775" w:rsidRPr="00FC0775" w14:paraId="5847083A" w14:textId="77777777" w:rsidTr="003A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10D47655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Vlastiti prihodi proračunskih korisnika</w:t>
            </w:r>
          </w:p>
        </w:tc>
        <w:tc>
          <w:tcPr>
            <w:tcW w:w="1303" w:type="dxa"/>
          </w:tcPr>
          <w:p w14:paraId="41CC6668" w14:textId="36B9C0AB" w:rsidR="00FC0775" w:rsidRPr="00FC0775" w:rsidRDefault="003A24F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6.037</w:t>
            </w:r>
          </w:p>
        </w:tc>
        <w:tc>
          <w:tcPr>
            <w:tcW w:w="791" w:type="dxa"/>
            <w:hideMark/>
          </w:tcPr>
          <w:p w14:paraId="59818137" w14:textId="5919ACA8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0,</w:t>
            </w:r>
            <w:r w:rsidR="003A24F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FC0775" w:rsidRPr="00FC0775" w14:paraId="26BC90B7" w14:textId="77777777" w:rsidTr="003A24F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38136C77" w14:textId="47F1D972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Prihodi za posebne namjene pr</w:t>
            </w:r>
            <w:r w:rsidR="00F54ED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 xml:space="preserve"> korisnika</w:t>
            </w:r>
          </w:p>
        </w:tc>
        <w:tc>
          <w:tcPr>
            <w:tcW w:w="1303" w:type="dxa"/>
          </w:tcPr>
          <w:p w14:paraId="5C34F170" w14:textId="4EE2D11D" w:rsidR="00FC0775" w:rsidRPr="00FC0775" w:rsidRDefault="003A24F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144.944</w:t>
            </w:r>
          </w:p>
        </w:tc>
        <w:tc>
          <w:tcPr>
            <w:tcW w:w="791" w:type="dxa"/>
            <w:hideMark/>
          </w:tcPr>
          <w:p w14:paraId="761F3837" w14:textId="5D7BCEDA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3A24F5">
              <w:rPr>
                <w:rFonts w:ascii="Times New Roman" w:eastAsia="Times New Roman" w:hAnsi="Times New Roman" w:cs="Times New Roman"/>
                <w:b/>
                <w:bCs/>
              </w:rPr>
              <w:t>,6</w:t>
            </w:r>
          </w:p>
        </w:tc>
      </w:tr>
      <w:tr w:rsidR="00FC0775" w:rsidRPr="00FC0775" w14:paraId="08D30A8B" w14:textId="77777777" w:rsidTr="003A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2B088457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za minimalni standard decentraliziranih funkcija</w:t>
            </w:r>
          </w:p>
        </w:tc>
        <w:tc>
          <w:tcPr>
            <w:tcW w:w="1303" w:type="dxa"/>
          </w:tcPr>
          <w:p w14:paraId="00C9B881" w14:textId="52F5E0B0" w:rsidR="00FC0775" w:rsidRPr="00FC0775" w:rsidRDefault="003A24F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447.389</w:t>
            </w:r>
          </w:p>
        </w:tc>
        <w:tc>
          <w:tcPr>
            <w:tcW w:w="791" w:type="dxa"/>
            <w:hideMark/>
          </w:tcPr>
          <w:p w14:paraId="55B7D77F" w14:textId="3D7860A3" w:rsidR="00FC0775" w:rsidRPr="00FC0775" w:rsidRDefault="003A24F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4,8</w:t>
            </w:r>
          </w:p>
        </w:tc>
      </w:tr>
      <w:tr w:rsidR="00FC0775" w:rsidRPr="00FC0775" w14:paraId="6CF1A19C" w14:textId="77777777" w:rsidTr="003A24F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2348288D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iz državnog proračuna gradu</w:t>
            </w:r>
          </w:p>
        </w:tc>
        <w:tc>
          <w:tcPr>
            <w:tcW w:w="1303" w:type="dxa"/>
          </w:tcPr>
          <w:p w14:paraId="22486997" w14:textId="6A9930C3" w:rsidR="00FC0775" w:rsidRPr="00FC0775" w:rsidRDefault="003A24F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101.001</w:t>
            </w:r>
          </w:p>
        </w:tc>
        <w:tc>
          <w:tcPr>
            <w:tcW w:w="791" w:type="dxa"/>
            <w:hideMark/>
          </w:tcPr>
          <w:p w14:paraId="4F077A74" w14:textId="43CEDE05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1,</w:t>
            </w:r>
            <w:r w:rsidR="003A24F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FC0775" w:rsidRPr="00FC0775" w14:paraId="4F25A04B" w14:textId="77777777" w:rsidTr="003A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0CD1C5FA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iz državnog proračuna za korisnike</w:t>
            </w:r>
          </w:p>
        </w:tc>
        <w:tc>
          <w:tcPr>
            <w:tcW w:w="1303" w:type="dxa"/>
          </w:tcPr>
          <w:p w14:paraId="66A4B54D" w14:textId="2BBF2187" w:rsidR="00FC0775" w:rsidRPr="00FC0775" w:rsidRDefault="003A24F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3.554.400</w:t>
            </w:r>
          </w:p>
        </w:tc>
        <w:tc>
          <w:tcPr>
            <w:tcW w:w="791" w:type="dxa"/>
            <w:hideMark/>
          </w:tcPr>
          <w:p w14:paraId="57CC2EA0" w14:textId="7BBB3EAB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38</w:t>
            </w:r>
            <w:r w:rsidR="003A24F5">
              <w:rPr>
                <w:rFonts w:ascii="Times New Roman" w:eastAsia="Times New Roman" w:hAnsi="Times New Roman" w:cs="Times New Roman"/>
                <w:b/>
                <w:bCs/>
              </w:rPr>
              <w:t>,2</w:t>
            </w:r>
          </w:p>
        </w:tc>
      </w:tr>
      <w:tr w:rsidR="00FC0775" w:rsidRPr="00FC0775" w14:paraId="7219E62E" w14:textId="77777777" w:rsidTr="003A24F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718333DC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iz općinskog proračuna za korisnike</w:t>
            </w:r>
          </w:p>
        </w:tc>
        <w:tc>
          <w:tcPr>
            <w:tcW w:w="1303" w:type="dxa"/>
          </w:tcPr>
          <w:p w14:paraId="51697E39" w14:textId="7468ADB5" w:rsidR="00FC0775" w:rsidRPr="00FC0775" w:rsidRDefault="003A24F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691.220</w:t>
            </w:r>
          </w:p>
        </w:tc>
        <w:tc>
          <w:tcPr>
            <w:tcW w:w="791" w:type="dxa"/>
            <w:hideMark/>
          </w:tcPr>
          <w:p w14:paraId="571C41EC" w14:textId="78D05B5D" w:rsidR="00FC0775" w:rsidRPr="00FC0775" w:rsidRDefault="003A24F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7,5</w:t>
            </w:r>
          </w:p>
        </w:tc>
      </w:tr>
      <w:tr w:rsidR="00FC0775" w:rsidRPr="00FC0775" w14:paraId="53BE1D50" w14:textId="77777777" w:rsidTr="003A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66A05EAE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od institucija i tijela EU gradu</w:t>
            </w:r>
          </w:p>
        </w:tc>
        <w:tc>
          <w:tcPr>
            <w:tcW w:w="1303" w:type="dxa"/>
          </w:tcPr>
          <w:p w14:paraId="315D2FAC" w14:textId="310BEFC8" w:rsidR="00FC0775" w:rsidRPr="00FC0775" w:rsidRDefault="003A24F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45.365</w:t>
            </w:r>
          </w:p>
        </w:tc>
        <w:tc>
          <w:tcPr>
            <w:tcW w:w="791" w:type="dxa"/>
            <w:hideMark/>
          </w:tcPr>
          <w:p w14:paraId="5EFAB9FE" w14:textId="037ECCCD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0,</w:t>
            </w:r>
            <w:r w:rsidR="003A24F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FC0775" w:rsidRPr="00FC0775" w14:paraId="081C2F85" w14:textId="77777777" w:rsidTr="003A24F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3F777050" w14:textId="4ED5582D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 xml:space="preserve">Pomoći temeljem prijenosa EU sredstava </w:t>
            </w:r>
            <w:r w:rsidR="003A24F5">
              <w:rPr>
                <w:rFonts w:ascii="Times New Roman" w:eastAsia="Times New Roman" w:hAnsi="Times New Roman" w:cs="Times New Roman"/>
                <w:b/>
                <w:bCs/>
              </w:rPr>
              <w:t>Gradu</w:t>
            </w:r>
          </w:p>
        </w:tc>
        <w:tc>
          <w:tcPr>
            <w:tcW w:w="1303" w:type="dxa"/>
          </w:tcPr>
          <w:p w14:paraId="641C7644" w14:textId="74669FE2" w:rsidR="00FC0775" w:rsidRPr="00FC0775" w:rsidRDefault="003A24F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77.244</w:t>
            </w:r>
          </w:p>
        </w:tc>
        <w:tc>
          <w:tcPr>
            <w:tcW w:w="791" w:type="dxa"/>
            <w:hideMark/>
          </w:tcPr>
          <w:p w14:paraId="32F1FA4D" w14:textId="17C15674" w:rsidR="00FC0775" w:rsidRPr="00FC0775" w:rsidRDefault="003A24F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0,9</w:t>
            </w:r>
          </w:p>
        </w:tc>
      </w:tr>
    </w:tbl>
    <w:p w14:paraId="5B6891AE" w14:textId="0A644ADA" w:rsidR="00E41EB2" w:rsidRPr="001371F1" w:rsidRDefault="00E41EB2" w:rsidP="009F25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09556" w14:textId="3BE04092" w:rsidR="007E3E39" w:rsidRPr="001A274C" w:rsidRDefault="000735EC" w:rsidP="000735EC">
      <w:pPr>
        <w:ind w:left="851"/>
        <w:rPr>
          <w:rFonts w:ascii="Times New Roman" w:hAnsi="Times New Roman" w:cs="Times New Roman"/>
          <w:b/>
          <w:sz w:val="24"/>
          <w:szCs w:val="24"/>
        </w:rPr>
      </w:pPr>
      <w:r w:rsidRPr="001A274C">
        <w:rPr>
          <w:rFonts w:ascii="Times New Roman" w:hAnsi="Times New Roman" w:cs="Times New Roman"/>
          <w:b/>
          <w:sz w:val="24"/>
          <w:szCs w:val="24"/>
        </w:rPr>
        <w:t>4.2.</w:t>
      </w:r>
      <w:r w:rsidR="00A32EC2" w:rsidRPr="001A2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74C">
        <w:rPr>
          <w:rFonts w:ascii="Times New Roman" w:hAnsi="Times New Roman" w:cs="Times New Roman"/>
          <w:b/>
          <w:sz w:val="24"/>
          <w:szCs w:val="24"/>
        </w:rPr>
        <w:t>MATERIJALNI RASHODI</w:t>
      </w:r>
    </w:p>
    <w:p w14:paraId="59BD77F1" w14:textId="4D656745" w:rsidR="00E22FF4" w:rsidRPr="009F2546" w:rsidRDefault="00E82192" w:rsidP="00FB0DA1">
      <w:pPr>
        <w:jc w:val="both"/>
        <w:rPr>
          <w:rFonts w:ascii="Times New Roman" w:hAnsi="Times New Roman" w:cs="Times New Roman"/>
          <w:sz w:val="24"/>
        </w:rPr>
      </w:pPr>
      <w:r w:rsidRPr="001A274C">
        <w:rPr>
          <w:rFonts w:ascii="Times New Roman" w:hAnsi="Times New Roman" w:cs="Times New Roman"/>
          <w:sz w:val="24"/>
          <w:szCs w:val="24"/>
        </w:rPr>
        <w:t>Materijalni rashodi planira</w:t>
      </w:r>
      <w:r w:rsidR="005A7B73" w:rsidRPr="001A274C">
        <w:rPr>
          <w:rFonts w:ascii="Times New Roman" w:hAnsi="Times New Roman" w:cs="Times New Roman"/>
          <w:sz w:val="24"/>
          <w:szCs w:val="24"/>
        </w:rPr>
        <w:t>ni su u iznosu od</w:t>
      </w:r>
      <w:r w:rsidR="00257741" w:rsidRPr="001A274C">
        <w:rPr>
          <w:rFonts w:ascii="Times New Roman" w:hAnsi="Times New Roman" w:cs="Times New Roman"/>
          <w:sz w:val="24"/>
          <w:szCs w:val="24"/>
        </w:rPr>
        <w:t xml:space="preserve"> </w:t>
      </w:r>
      <w:r w:rsidR="00F22247" w:rsidRPr="001A274C">
        <w:rPr>
          <w:rFonts w:ascii="Times New Roman" w:hAnsi="Times New Roman" w:cs="Times New Roman"/>
          <w:sz w:val="24"/>
          <w:szCs w:val="24"/>
        </w:rPr>
        <w:t>1</w:t>
      </w:r>
      <w:r w:rsidR="00096633" w:rsidRPr="001A274C">
        <w:rPr>
          <w:rFonts w:ascii="Times New Roman" w:hAnsi="Times New Roman" w:cs="Times New Roman"/>
          <w:sz w:val="24"/>
          <w:szCs w:val="24"/>
        </w:rPr>
        <w:t>3.382.271</w:t>
      </w:r>
      <w:r w:rsidR="00F22247" w:rsidRPr="001A274C">
        <w:rPr>
          <w:rFonts w:ascii="Times New Roman" w:hAnsi="Times New Roman" w:cs="Times New Roman"/>
          <w:sz w:val="24"/>
          <w:szCs w:val="24"/>
        </w:rPr>
        <w:t xml:space="preserve"> eura a do 30.06. tekuće godine realizirani su u visini od </w:t>
      </w:r>
      <w:r w:rsidR="00096633" w:rsidRPr="001A274C">
        <w:rPr>
          <w:rFonts w:ascii="Times New Roman" w:hAnsi="Times New Roman" w:cs="Times New Roman"/>
          <w:sz w:val="24"/>
          <w:szCs w:val="24"/>
        </w:rPr>
        <w:t>4.827.707</w:t>
      </w:r>
      <w:r w:rsidR="00F22247" w:rsidRPr="001A274C">
        <w:rPr>
          <w:rFonts w:ascii="Times New Roman" w:hAnsi="Times New Roman" w:cs="Times New Roman"/>
          <w:sz w:val="24"/>
          <w:szCs w:val="24"/>
        </w:rPr>
        <w:t xml:space="preserve"> eura.</w:t>
      </w:r>
      <w:r w:rsidR="00DD4FD6" w:rsidRPr="001A274C">
        <w:rPr>
          <w:rFonts w:ascii="Times New Roman" w:hAnsi="Times New Roman" w:cs="Times New Roman"/>
          <w:sz w:val="24"/>
          <w:szCs w:val="24"/>
        </w:rPr>
        <w:t xml:space="preserve"> </w:t>
      </w:r>
      <w:r w:rsidR="00DD4FD6" w:rsidRPr="001A274C">
        <w:rPr>
          <w:rFonts w:ascii="Times New Roman" w:hAnsi="Times New Roman" w:cs="Times New Roman"/>
          <w:sz w:val="24"/>
        </w:rPr>
        <w:t xml:space="preserve">U strukturi materijalnih rashoda najveći udio u visini od </w:t>
      </w:r>
      <w:r w:rsidR="001A274C" w:rsidRPr="001A274C">
        <w:rPr>
          <w:rFonts w:ascii="Times New Roman" w:hAnsi="Times New Roman" w:cs="Times New Roman"/>
          <w:sz w:val="24"/>
        </w:rPr>
        <w:t>2.868.552,40</w:t>
      </w:r>
      <w:r w:rsidR="00D114FA" w:rsidRPr="001A274C">
        <w:rPr>
          <w:rFonts w:ascii="Times New Roman" w:hAnsi="Times New Roman" w:cs="Times New Roman"/>
          <w:sz w:val="24"/>
        </w:rPr>
        <w:t xml:space="preserve"> eura</w:t>
      </w:r>
      <w:r w:rsidR="00DD4FD6" w:rsidRPr="001A274C">
        <w:rPr>
          <w:rFonts w:ascii="Times New Roman" w:hAnsi="Times New Roman" w:cs="Times New Roman"/>
          <w:sz w:val="24"/>
        </w:rPr>
        <w:t xml:space="preserve"> imaju </w:t>
      </w:r>
      <w:r w:rsidR="00D36046" w:rsidRPr="001A274C">
        <w:rPr>
          <w:rFonts w:ascii="Times New Roman" w:hAnsi="Times New Roman" w:cs="Times New Roman"/>
          <w:sz w:val="24"/>
        </w:rPr>
        <w:t>rashodi za usluge a za njima slijede</w:t>
      </w:r>
      <w:r w:rsidR="00A54D47" w:rsidRPr="001A274C">
        <w:rPr>
          <w:rFonts w:ascii="Times New Roman" w:hAnsi="Times New Roman" w:cs="Times New Roman"/>
          <w:sz w:val="24"/>
        </w:rPr>
        <w:t xml:space="preserve"> rashodi za materijal i energiju koji su realizirani u iznosu od </w:t>
      </w:r>
      <w:r w:rsidR="001A274C" w:rsidRPr="001A274C">
        <w:rPr>
          <w:rFonts w:ascii="Times New Roman" w:hAnsi="Times New Roman" w:cs="Times New Roman"/>
          <w:sz w:val="24"/>
        </w:rPr>
        <w:t>1.020.435,87</w:t>
      </w:r>
      <w:r w:rsidR="00C66C95" w:rsidRPr="001A274C">
        <w:rPr>
          <w:rFonts w:ascii="Times New Roman" w:hAnsi="Times New Roman" w:cs="Times New Roman"/>
          <w:sz w:val="24"/>
        </w:rPr>
        <w:t xml:space="preserve"> </w:t>
      </w:r>
      <w:r w:rsidR="00D114FA" w:rsidRPr="001A274C">
        <w:rPr>
          <w:rFonts w:ascii="Times New Roman" w:hAnsi="Times New Roman" w:cs="Times New Roman"/>
          <w:sz w:val="24"/>
        </w:rPr>
        <w:t xml:space="preserve">eura, </w:t>
      </w:r>
      <w:r w:rsidR="00C66C95" w:rsidRPr="001A274C">
        <w:rPr>
          <w:rFonts w:ascii="Times New Roman" w:hAnsi="Times New Roman" w:cs="Times New Roman"/>
          <w:sz w:val="24"/>
        </w:rPr>
        <w:t>naknade troškova zaposlenima</w:t>
      </w:r>
      <w:r w:rsidR="007B6C58" w:rsidRPr="001A274C">
        <w:rPr>
          <w:rFonts w:ascii="Times New Roman" w:hAnsi="Times New Roman" w:cs="Times New Roman"/>
          <w:sz w:val="24"/>
        </w:rPr>
        <w:t xml:space="preserve"> i osobama izvan </w:t>
      </w:r>
      <w:r w:rsidR="007B6C58" w:rsidRPr="00D114FA">
        <w:rPr>
          <w:rFonts w:ascii="Times New Roman" w:hAnsi="Times New Roman" w:cs="Times New Roman"/>
          <w:sz w:val="24"/>
        </w:rPr>
        <w:t>radnog odnosa te</w:t>
      </w:r>
      <w:r w:rsidR="00D114FA" w:rsidRPr="00D114FA">
        <w:rPr>
          <w:rFonts w:ascii="Times New Roman" w:hAnsi="Times New Roman" w:cs="Times New Roman"/>
          <w:sz w:val="24"/>
        </w:rPr>
        <w:t xml:space="preserve"> ostali rashodi poslovanja ostvareni </w:t>
      </w:r>
      <w:r w:rsidR="00D36046" w:rsidRPr="00D114FA">
        <w:rPr>
          <w:rFonts w:ascii="Times New Roman" w:hAnsi="Times New Roman" w:cs="Times New Roman"/>
          <w:sz w:val="24"/>
        </w:rPr>
        <w:t xml:space="preserve">ukupnom iznosu od </w:t>
      </w:r>
      <w:r w:rsidR="001A274C">
        <w:rPr>
          <w:rFonts w:ascii="Times New Roman" w:hAnsi="Times New Roman" w:cs="Times New Roman"/>
          <w:sz w:val="24"/>
        </w:rPr>
        <w:t>914.355,19</w:t>
      </w:r>
      <w:r w:rsidR="00D114FA" w:rsidRPr="00D114FA">
        <w:rPr>
          <w:rFonts w:ascii="Times New Roman" w:hAnsi="Times New Roman" w:cs="Times New Roman"/>
          <w:sz w:val="24"/>
        </w:rPr>
        <w:t xml:space="preserve"> eura</w:t>
      </w:r>
      <w:r w:rsidR="00D36046" w:rsidRPr="00D114FA">
        <w:rPr>
          <w:rFonts w:ascii="Times New Roman" w:hAnsi="Times New Roman" w:cs="Times New Roman"/>
          <w:sz w:val="24"/>
        </w:rPr>
        <w:t>.</w:t>
      </w:r>
      <w:r w:rsidR="00D36046" w:rsidRPr="00B307AD">
        <w:rPr>
          <w:rFonts w:ascii="Times New Roman" w:hAnsi="Times New Roman" w:cs="Times New Roman"/>
          <w:color w:val="4F81BD" w:themeColor="accent1"/>
          <w:sz w:val="24"/>
        </w:rPr>
        <w:t xml:space="preserve"> </w:t>
      </w:r>
      <w:r w:rsidR="00D36046" w:rsidRPr="00263794">
        <w:rPr>
          <w:rFonts w:ascii="Times New Roman" w:hAnsi="Times New Roman" w:cs="Times New Roman"/>
          <w:sz w:val="24"/>
        </w:rPr>
        <w:t>U</w:t>
      </w:r>
      <w:r w:rsidR="00A54D47" w:rsidRPr="00263794">
        <w:rPr>
          <w:rFonts w:ascii="Times New Roman" w:hAnsi="Times New Roman" w:cs="Times New Roman"/>
          <w:sz w:val="24"/>
        </w:rPr>
        <w:t>kupni materijalni rashodi o</w:t>
      </w:r>
      <w:r w:rsidR="00DD4FD6" w:rsidRPr="00263794">
        <w:rPr>
          <w:rFonts w:ascii="Times New Roman" w:hAnsi="Times New Roman" w:cs="Times New Roman"/>
          <w:sz w:val="24"/>
        </w:rPr>
        <w:t xml:space="preserve">buhvaćaju </w:t>
      </w:r>
      <w:r w:rsidR="0016123F" w:rsidRPr="00263794">
        <w:rPr>
          <w:rFonts w:ascii="Times New Roman" w:hAnsi="Times New Roman" w:cs="Times New Roman"/>
          <w:sz w:val="24"/>
        </w:rPr>
        <w:t xml:space="preserve">rashode za komunalne usluge, najamnine i zakupnine, </w:t>
      </w:r>
      <w:r w:rsidR="00DD4FD6" w:rsidRPr="00263794">
        <w:rPr>
          <w:rFonts w:ascii="Times New Roman" w:hAnsi="Times New Roman" w:cs="Times New Roman"/>
          <w:sz w:val="24"/>
        </w:rPr>
        <w:t>naknade troškova zaposlenima (službena putovanja, naknade za prijevoz na posao i s posla, stručno usavršavanje zaposlenika), rashode za materijal i energiju (uredski materijal i ostali materijalni rashodi, utrošak energije), rashode za usluge  telefona, pošte i prijevoza,  tekuće i investicijsko održavanje, usluge promidžbe i informiranja, zdravstvene usluge, intelektualne usluge, računalne usluge, te ostale nespomenute rashode poslovanja (naknad</w:t>
      </w:r>
      <w:r w:rsidR="0016123F" w:rsidRPr="00263794">
        <w:rPr>
          <w:rFonts w:ascii="Times New Roman" w:hAnsi="Times New Roman" w:cs="Times New Roman"/>
          <w:sz w:val="24"/>
        </w:rPr>
        <w:t>e za rad predstavničkih tijela,</w:t>
      </w:r>
      <w:r w:rsidR="00DD4FD6" w:rsidRPr="00263794">
        <w:rPr>
          <w:rFonts w:ascii="Times New Roman" w:hAnsi="Times New Roman" w:cs="Times New Roman"/>
          <w:sz w:val="24"/>
        </w:rPr>
        <w:t xml:space="preserve"> reprezentacija, premije osiguranja, članarine).</w:t>
      </w:r>
    </w:p>
    <w:p w14:paraId="54AF36E2" w14:textId="77777777" w:rsidR="00E82192" w:rsidRPr="00D0252C" w:rsidRDefault="00FB0DA1" w:rsidP="00FB0DA1">
      <w:pPr>
        <w:jc w:val="both"/>
        <w:rPr>
          <w:rFonts w:ascii="Times New Roman" w:hAnsi="Times New Roman" w:cs="Times New Roman"/>
          <w:sz w:val="24"/>
        </w:rPr>
      </w:pPr>
      <w:r w:rsidRPr="00D0252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31E3F" w:rsidRPr="00D02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5EC" w:rsidRPr="00D0252C">
        <w:rPr>
          <w:rFonts w:ascii="Times New Roman" w:hAnsi="Times New Roman" w:cs="Times New Roman"/>
          <w:b/>
          <w:sz w:val="24"/>
          <w:szCs w:val="24"/>
        </w:rPr>
        <w:t>4.3.</w:t>
      </w:r>
      <w:r w:rsidRPr="00D0252C">
        <w:rPr>
          <w:rFonts w:ascii="Times New Roman" w:hAnsi="Times New Roman" w:cs="Times New Roman"/>
          <w:b/>
          <w:sz w:val="24"/>
          <w:szCs w:val="24"/>
        </w:rPr>
        <w:t xml:space="preserve"> FINANCIJSKI </w:t>
      </w:r>
      <w:r w:rsidR="00531E3F" w:rsidRPr="00D02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52C">
        <w:rPr>
          <w:rFonts w:ascii="Times New Roman" w:hAnsi="Times New Roman" w:cs="Times New Roman"/>
          <w:b/>
          <w:sz w:val="24"/>
          <w:szCs w:val="24"/>
        </w:rPr>
        <w:t>RASHODI</w:t>
      </w:r>
    </w:p>
    <w:p w14:paraId="36912198" w14:textId="63316712" w:rsidR="00CE7CE4" w:rsidRPr="009F2546" w:rsidRDefault="00FB0DA1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D0252C">
        <w:rPr>
          <w:rFonts w:ascii="Times New Roman" w:hAnsi="Times New Roman" w:cs="Times New Roman"/>
          <w:sz w:val="24"/>
          <w:szCs w:val="24"/>
        </w:rPr>
        <w:t xml:space="preserve">Financijski rashodi ostvareni </w:t>
      </w:r>
      <w:r w:rsidR="00D114FA">
        <w:rPr>
          <w:rFonts w:ascii="Times New Roman" w:hAnsi="Times New Roman" w:cs="Times New Roman"/>
          <w:sz w:val="24"/>
          <w:szCs w:val="24"/>
        </w:rPr>
        <w:t xml:space="preserve">su </w:t>
      </w:r>
      <w:r w:rsidRPr="00D0252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A274C">
        <w:rPr>
          <w:rFonts w:ascii="Times New Roman" w:hAnsi="Times New Roman" w:cs="Times New Roman"/>
          <w:sz w:val="24"/>
          <w:szCs w:val="24"/>
        </w:rPr>
        <w:t>145.124,41</w:t>
      </w:r>
      <w:r w:rsidR="00D114FA">
        <w:rPr>
          <w:rFonts w:ascii="Times New Roman" w:hAnsi="Times New Roman" w:cs="Times New Roman"/>
          <w:sz w:val="24"/>
          <w:szCs w:val="24"/>
        </w:rPr>
        <w:t xml:space="preserve"> eura</w:t>
      </w:r>
      <w:r w:rsidR="00025FEA" w:rsidRPr="00D0252C">
        <w:rPr>
          <w:rFonts w:ascii="Times New Roman" w:hAnsi="Times New Roman" w:cs="Times New Roman"/>
          <w:sz w:val="24"/>
          <w:szCs w:val="24"/>
        </w:rPr>
        <w:t xml:space="preserve">, </w:t>
      </w:r>
      <w:r w:rsidR="00A54D47" w:rsidRPr="00D0252C">
        <w:rPr>
          <w:rFonts w:ascii="Times New Roman" w:hAnsi="Times New Roman" w:cs="Times New Roman"/>
          <w:sz w:val="24"/>
          <w:szCs w:val="24"/>
        </w:rPr>
        <w:t xml:space="preserve"> </w:t>
      </w:r>
      <w:r w:rsidR="00025FEA" w:rsidRPr="00D0252C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C803ED">
        <w:rPr>
          <w:rFonts w:ascii="Times New Roman" w:hAnsi="Times New Roman" w:cs="Times New Roman"/>
          <w:sz w:val="24"/>
          <w:szCs w:val="24"/>
        </w:rPr>
        <w:t>1</w:t>
      </w:r>
      <w:r w:rsidR="001A274C">
        <w:rPr>
          <w:rFonts w:ascii="Times New Roman" w:hAnsi="Times New Roman" w:cs="Times New Roman"/>
          <w:sz w:val="24"/>
          <w:szCs w:val="24"/>
        </w:rPr>
        <w:t>5</w:t>
      </w:r>
      <w:r w:rsidR="00025FEA" w:rsidRPr="00D0252C">
        <w:rPr>
          <w:rFonts w:ascii="Times New Roman" w:hAnsi="Times New Roman" w:cs="Times New Roman"/>
          <w:sz w:val="24"/>
          <w:szCs w:val="24"/>
        </w:rPr>
        <w:t>% godišnjeg Plana, a</w:t>
      </w:r>
      <w:r w:rsidR="00A54D47" w:rsidRPr="00D0252C">
        <w:rPr>
          <w:rFonts w:ascii="Times New Roman" w:hAnsi="Times New Roman" w:cs="Times New Roman"/>
          <w:sz w:val="24"/>
          <w:szCs w:val="24"/>
        </w:rPr>
        <w:t xml:space="preserve"> </w:t>
      </w:r>
      <w:r w:rsidR="00B14149" w:rsidRPr="00D0252C">
        <w:rPr>
          <w:rFonts w:ascii="Times New Roman" w:hAnsi="Times New Roman" w:cs="Times New Roman"/>
          <w:sz w:val="24"/>
          <w:szCs w:val="24"/>
        </w:rPr>
        <w:t xml:space="preserve">odnose se </w:t>
      </w:r>
      <w:r w:rsidR="00E731BF" w:rsidRPr="00D0252C">
        <w:rPr>
          <w:rFonts w:ascii="Times New Roman" w:hAnsi="Times New Roman" w:cs="Times New Roman"/>
          <w:sz w:val="24"/>
          <w:szCs w:val="24"/>
        </w:rPr>
        <w:t xml:space="preserve">na </w:t>
      </w:r>
      <w:r w:rsidR="005A6523" w:rsidRPr="00D0252C">
        <w:rPr>
          <w:rFonts w:ascii="Times New Roman" w:hAnsi="Times New Roman" w:cs="Times New Roman"/>
          <w:sz w:val="24"/>
          <w:szCs w:val="24"/>
        </w:rPr>
        <w:t xml:space="preserve">kamate za primljene kredite, </w:t>
      </w:r>
      <w:r w:rsidR="00257741" w:rsidRPr="00D0252C">
        <w:rPr>
          <w:rFonts w:ascii="Times New Roman" w:hAnsi="Times New Roman" w:cs="Times New Roman"/>
          <w:sz w:val="24"/>
          <w:szCs w:val="24"/>
        </w:rPr>
        <w:t>bankarske usluge i usluge platnog prometa, zatezne kamate</w:t>
      </w:r>
      <w:r w:rsidR="005B2091">
        <w:rPr>
          <w:rFonts w:ascii="Times New Roman" w:hAnsi="Times New Roman" w:cs="Times New Roman"/>
          <w:sz w:val="24"/>
          <w:szCs w:val="24"/>
        </w:rPr>
        <w:t xml:space="preserve"> i </w:t>
      </w:r>
      <w:r w:rsidR="00257741" w:rsidRPr="00D0252C">
        <w:rPr>
          <w:rFonts w:ascii="Times New Roman" w:hAnsi="Times New Roman" w:cs="Times New Roman"/>
          <w:sz w:val="24"/>
          <w:szCs w:val="24"/>
        </w:rPr>
        <w:t>naknade za usluge FINA-e</w:t>
      </w:r>
      <w:r w:rsidR="005B2091">
        <w:rPr>
          <w:rFonts w:ascii="Times New Roman" w:hAnsi="Times New Roman" w:cs="Times New Roman"/>
          <w:sz w:val="24"/>
          <w:szCs w:val="24"/>
        </w:rPr>
        <w:t>.</w:t>
      </w:r>
    </w:p>
    <w:p w14:paraId="5B4623B8" w14:textId="77777777" w:rsidR="00FB0DA1" w:rsidRPr="00271903" w:rsidRDefault="00FB0DA1" w:rsidP="00FB0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90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31E3F" w:rsidRPr="00271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E3F" w:rsidRPr="00271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b/>
          <w:sz w:val="24"/>
          <w:szCs w:val="24"/>
        </w:rPr>
        <w:t>4.4. SUBVENCIJE</w:t>
      </w:r>
    </w:p>
    <w:p w14:paraId="478C032A" w14:textId="18AAB679" w:rsidR="00B057BC" w:rsidRDefault="00FB0DA1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271903">
        <w:rPr>
          <w:rFonts w:ascii="Times New Roman" w:hAnsi="Times New Roman" w:cs="Times New Roman"/>
          <w:sz w:val="24"/>
          <w:szCs w:val="24"/>
          <w:lang w:val="es-ES"/>
        </w:rPr>
        <w:t>Subvencije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>ostvarene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>iznosu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>od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="005B2091">
        <w:rPr>
          <w:rFonts w:ascii="Times New Roman" w:hAnsi="Times New Roman" w:cs="Times New Roman"/>
          <w:sz w:val="24"/>
          <w:szCs w:val="24"/>
        </w:rPr>
        <w:t>417.664,44</w:t>
      </w:r>
      <w:r w:rsidR="00D114FA">
        <w:rPr>
          <w:rFonts w:ascii="Times New Roman" w:hAnsi="Times New Roman" w:cs="Times New Roman"/>
          <w:sz w:val="24"/>
          <w:szCs w:val="24"/>
        </w:rPr>
        <w:t xml:space="preserve"> eura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114FA">
        <w:rPr>
          <w:rFonts w:ascii="Times New Roman" w:hAnsi="Times New Roman" w:cs="Times New Roman"/>
          <w:sz w:val="24"/>
          <w:szCs w:val="24"/>
          <w:lang w:val="es-ES"/>
        </w:rPr>
        <w:t xml:space="preserve">čime je realizirano 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="005B2091">
        <w:rPr>
          <w:rFonts w:ascii="Times New Roman" w:hAnsi="Times New Roman" w:cs="Times New Roman"/>
          <w:sz w:val="24"/>
          <w:szCs w:val="24"/>
        </w:rPr>
        <w:t>44</w:t>
      </w:r>
      <w:r w:rsidR="000719EC" w:rsidRPr="00271903">
        <w:rPr>
          <w:rFonts w:ascii="Times New Roman" w:hAnsi="Times New Roman" w:cs="Times New Roman"/>
          <w:sz w:val="24"/>
          <w:szCs w:val="24"/>
        </w:rPr>
        <w:t>% godišnjeg P</w:t>
      </w:r>
      <w:r w:rsidR="001468A7" w:rsidRPr="00271903">
        <w:rPr>
          <w:rFonts w:ascii="Times New Roman" w:hAnsi="Times New Roman" w:cs="Times New Roman"/>
          <w:sz w:val="24"/>
          <w:szCs w:val="24"/>
        </w:rPr>
        <w:t xml:space="preserve">lana a odnose se </w:t>
      </w:r>
      <w:r w:rsidR="00531E3F" w:rsidRPr="00271903">
        <w:rPr>
          <w:rFonts w:ascii="Times New Roman" w:hAnsi="Times New Roman" w:cs="Times New Roman"/>
          <w:sz w:val="24"/>
          <w:szCs w:val="24"/>
        </w:rPr>
        <w:t xml:space="preserve"> na </w:t>
      </w:r>
      <w:r w:rsidRPr="00271903">
        <w:rPr>
          <w:rFonts w:ascii="Times New Roman" w:hAnsi="Times New Roman" w:cs="Times New Roman"/>
          <w:sz w:val="24"/>
          <w:szCs w:val="24"/>
        </w:rPr>
        <w:t xml:space="preserve">kamate koje se subvencioniraju iz Proračuna po programima za realizirane poduzetničke kredite, </w:t>
      </w:r>
      <w:r w:rsidR="00257741" w:rsidRPr="00271903">
        <w:rPr>
          <w:rFonts w:ascii="Times New Roman" w:hAnsi="Times New Roman" w:cs="Times New Roman"/>
          <w:sz w:val="24"/>
          <w:szCs w:val="24"/>
        </w:rPr>
        <w:t>i kupnju prvo</w:t>
      </w:r>
      <w:r w:rsidR="00257741" w:rsidRPr="001C0798">
        <w:rPr>
          <w:rFonts w:ascii="Times New Roman" w:hAnsi="Times New Roman" w:cs="Times New Roman"/>
          <w:sz w:val="24"/>
          <w:szCs w:val="24"/>
        </w:rPr>
        <w:t>g stana</w:t>
      </w:r>
      <w:r w:rsidR="009858D6">
        <w:rPr>
          <w:rFonts w:ascii="Times New Roman" w:hAnsi="Times New Roman" w:cs="Times New Roman"/>
          <w:sz w:val="24"/>
          <w:szCs w:val="24"/>
        </w:rPr>
        <w:t>, potpore za financiranje programskih sadržaja medija te sufinanciranje boravka predškolske djece u privatnim vrtićima.</w:t>
      </w:r>
      <w:r w:rsidR="00257741" w:rsidRPr="001C0798">
        <w:rPr>
          <w:rFonts w:ascii="Times New Roman" w:hAnsi="Times New Roman" w:cs="Times New Roman"/>
          <w:sz w:val="24"/>
          <w:szCs w:val="24"/>
        </w:rPr>
        <w:t xml:space="preserve"> </w:t>
      </w:r>
      <w:r w:rsidR="00E731BF" w:rsidRPr="001C0798">
        <w:rPr>
          <w:rFonts w:ascii="Times New Roman" w:hAnsi="Times New Roman" w:cs="Times New Roman"/>
          <w:sz w:val="24"/>
          <w:szCs w:val="24"/>
        </w:rPr>
        <w:t xml:space="preserve">Također se, kroz subvencije trgovačkim društvima </w:t>
      </w:r>
      <w:r w:rsidR="00B057BC">
        <w:rPr>
          <w:rFonts w:ascii="Times New Roman" w:hAnsi="Times New Roman" w:cs="Times New Roman"/>
          <w:sz w:val="24"/>
          <w:szCs w:val="24"/>
        </w:rPr>
        <w:t>u  javnom</w:t>
      </w:r>
      <w:r w:rsidR="00E731BF" w:rsidRPr="001C0798">
        <w:rPr>
          <w:rFonts w:ascii="Times New Roman" w:hAnsi="Times New Roman" w:cs="Times New Roman"/>
          <w:sz w:val="24"/>
          <w:szCs w:val="24"/>
        </w:rPr>
        <w:t xml:space="preserve"> sektor</w:t>
      </w:r>
      <w:r w:rsidR="00B057BC">
        <w:rPr>
          <w:rFonts w:ascii="Times New Roman" w:hAnsi="Times New Roman" w:cs="Times New Roman"/>
          <w:sz w:val="24"/>
          <w:szCs w:val="24"/>
        </w:rPr>
        <w:t xml:space="preserve">u sufinancira redovan rad TD Poduzetnički inkubator </w:t>
      </w:r>
      <w:proofErr w:type="spellStart"/>
      <w:r w:rsidR="00B057BC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="009B4AE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B4AE2">
        <w:rPr>
          <w:rFonts w:ascii="Times New Roman" w:hAnsi="Times New Roman" w:cs="Times New Roman"/>
          <w:sz w:val="24"/>
          <w:szCs w:val="24"/>
        </w:rPr>
        <w:t>Parentium</w:t>
      </w:r>
      <w:proofErr w:type="spellEnd"/>
      <w:r w:rsidR="009B4AE2">
        <w:rPr>
          <w:rFonts w:ascii="Times New Roman" w:hAnsi="Times New Roman" w:cs="Times New Roman"/>
          <w:sz w:val="24"/>
          <w:szCs w:val="24"/>
        </w:rPr>
        <w:t xml:space="preserve"> d.o.o.</w:t>
      </w:r>
    </w:p>
    <w:p w14:paraId="00B13D48" w14:textId="4FA351F5" w:rsidR="00FB0DA1" w:rsidRPr="009B3C61" w:rsidRDefault="00E731BF" w:rsidP="00FB0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C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FB0DA1" w:rsidRPr="009B3C61">
        <w:rPr>
          <w:rFonts w:ascii="Times New Roman" w:hAnsi="Times New Roman" w:cs="Times New Roman"/>
          <w:b/>
          <w:sz w:val="24"/>
          <w:szCs w:val="24"/>
        </w:rPr>
        <w:t>4.5.</w:t>
      </w:r>
      <w:r w:rsidR="00531E3F" w:rsidRPr="009B3C61">
        <w:rPr>
          <w:rFonts w:ascii="Times New Roman" w:hAnsi="Times New Roman" w:cs="Times New Roman"/>
          <w:b/>
          <w:sz w:val="24"/>
          <w:szCs w:val="24"/>
        </w:rPr>
        <w:t xml:space="preserve"> POMOĆI  </w:t>
      </w:r>
    </w:p>
    <w:p w14:paraId="4300E953" w14:textId="1FE60E0B" w:rsidR="001E64EF" w:rsidRDefault="00531E3F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9B3C61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FB0DA1" w:rsidRPr="009B3C61">
        <w:rPr>
          <w:rFonts w:ascii="Times New Roman" w:hAnsi="Times New Roman" w:cs="Times New Roman"/>
          <w:sz w:val="24"/>
          <w:szCs w:val="24"/>
          <w:lang w:val="es-ES"/>
        </w:rPr>
        <w:t>ekuće i kapitalne</w:t>
      </w:r>
      <w:r w:rsidRPr="009B3C61">
        <w:rPr>
          <w:rFonts w:ascii="Times New Roman" w:hAnsi="Times New Roman" w:cs="Times New Roman"/>
          <w:sz w:val="24"/>
          <w:szCs w:val="24"/>
          <w:lang w:val="es-ES"/>
        </w:rPr>
        <w:t xml:space="preserve"> pomoći </w:t>
      </w:r>
      <w:r w:rsidR="00FB0DA1" w:rsidRPr="009B3C61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FB0DA1" w:rsidRPr="009B3C61">
        <w:rPr>
          <w:rFonts w:ascii="Times New Roman" w:hAnsi="Times New Roman" w:cs="Times New Roman"/>
          <w:sz w:val="24"/>
          <w:szCs w:val="24"/>
        </w:rPr>
        <w:t xml:space="preserve"> tijekom prve polovine godine realizirane u iznosu od  </w:t>
      </w:r>
      <w:r w:rsidR="00012DA7">
        <w:rPr>
          <w:rFonts w:ascii="Times New Roman" w:hAnsi="Times New Roman" w:cs="Times New Roman"/>
          <w:sz w:val="24"/>
          <w:szCs w:val="24"/>
        </w:rPr>
        <w:t>450.443,09</w:t>
      </w:r>
      <w:r w:rsidR="00D114FA">
        <w:rPr>
          <w:rFonts w:ascii="Times New Roman" w:hAnsi="Times New Roman" w:cs="Times New Roman"/>
          <w:sz w:val="24"/>
          <w:szCs w:val="24"/>
        </w:rPr>
        <w:t xml:space="preserve"> eura </w:t>
      </w:r>
      <w:r w:rsidR="00FB0DA1" w:rsidRPr="009B3C61">
        <w:rPr>
          <w:rFonts w:ascii="Times New Roman" w:hAnsi="Times New Roman" w:cs="Times New Roman"/>
          <w:sz w:val="24"/>
          <w:szCs w:val="24"/>
        </w:rPr>
        <w:t>čim</w:t>
      </w:r>
      <w:r w:rsidRPr="009B3C61">
        <w:rPr>
          <w:rFonts w:ascii="Times New Roman" w:hAnsi="Times New Roman" w:cs="Times New Roman"/>
          <w:sz w:val="24"/>
          <w:szCs w:val="24"/>
        </w:rPr>
        <w:t xml:space="preserve">e je ostvareno </w:t>
      </w:r>
      <w:r w:rsidR="00012DA7">
        <w:rPr>
          <w:rFonts w:ascii="Times New Roman" w:hAnsi="Times New Roman" w:cs="Times New Roman"/>
          <w:sz w:val="24"/>
          <w:szCs w:val="24"/>
        </w:rPr>
        <w:t>3</w:t>
      </w:r>
      <w:r w:rsidR="001E64EF">
        <w:rPr>
          <w:rFonts w:ascii="Times New Roman" w:hAnsi="Times New Roman" w:cs="Times New Roman"/>
          <w:sz w:val="24"/>
          <w:szCs w:val="24"/>
        </w:rPr>
        <w:t>2</w:t>
      </w:r>
      <w:r w:rsidR="003E0B5C" w:rsidRPr="009B3C61">
        <w:rPr>
          <w:rFonts w:ascii="Times New Roman" w:hAnsi="Times New Roman" w:cs="Times New Roman"/>
          <w:sz w:val="24"/>
          <w:szCs w:val="24"/>
        </w:rPr>
        <w:t>% godišnjeg P</w:t>
      </w:r>
      <w:r w:rsidR="00FB0DA1" w:rsidRPr="009B3C61">
        <w:rPr>
          <w:rFonts w:ascii="Times New Roman" w:hAnsi="Times New Roman" w:cs="Times New Roman"/>
          <w:sz w:val="24"/>
          <w:szCs w:val="24"/>
        </w:rPr>
        <w:t xml:space="preserve">lana. Navedeni se rashodi odnose na </w:t>
      </w:r>
      <w:r w:rsidR="00064D9F" w:rsidRPr="009B3C61">
        <w:rPr>
          <w:rFonts w:ascii="Times New Roman" w:hAnsi="Times New Roman" w:cs="Times New Roman"/>
          <w:sz w:val="24"/>
          <w:szCs w:val="24"/>
        </w:rPr>
        <w:t>s</w:t>
      </w:r>
      <w:r w:rsidR="00FB0DA1" w:rsidRPr="009B3C61">
        <w:rPr>
          <w:rFonts w:ascii="Times New Roman" w:hAnsi="Times New Roman" w:cs="Times New Roman"/>
          <w:sz w:val="24"/>
          <w:szCs w:val="24"/>
        </w:rPr>
        <w:t>ufinanciranje pojedinih aktivnosti srednjoškolskog obrazovanja,  Doma za djecu, mladež i odrasle osob</w:t>
      </w:r>
      <w:r w:rsidR="00C60F67" w:rsidRPr="009B3C61">
        <w:rPr>
          <w:rFonts w:ascii="Times New Roman" w:hAnsi="Times New Roman" w:cs="Times New Roman"/>
          <w:sz w:val="24"/>
          <w:szCs w:val="24"/>
        </w:rPr>
        <w:t>e sa cerebralnom paralizom</w:t>
      </w:r>
      <w:r w:rsidR="00FF5B97" w:rsidRPr="009B3C61">
        <w:rPr>
          <w:rFonts w:ascii="Times New Roman" w:hAnsi="Times New Roman" w:cs="Times New Roman"/>
          <w:sz w:val="24"/>
          <w:szCs w:val="24"/>
        </w:rPr>
        <w:t xml:space="preserve">, </w:t>
      </w:r>
      <w:r w:rsidR="00064D9F" w:rsidRPr="009B3C61">
        <w:rPr>
          <w:rFonts w:ascii="Times New Roman" w:hAnsi="Times New Roman" w:cs="Times New Roman"/>
          <w:sz w:val="24"/>
          <w:szCs w:val="24"/>
        </w:rPr>
        <w:t xml:space="preserve">sufinanciranje projekta </w:t>
      </w:r>
      <w:r w:rsidR="009B3C61" w:rsidRPr="009B3C6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4240B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="00F4240B">
        <w:rPr>
          <w:rFonts w:ascii="Times New Roman" w:hAnsi="Times New Roman" w:cs="Times New Roman"/>
          <w:sz w:val="24"/>
          <w:szCs w:val="24"/>
        </w:rPr>
        <w:t xml:space="preserve"> torba zajedništva“</w:t>
      </w:r>
      <w:r w:rsidR="009B3C61" w:rsidRPr="009B3C61">
        <w:rPr>
          <w:rFonts w:ascii="Times New Roman" w:hAnsi="Times New Roman" w:cs="Times New Roman"/>
          <w:sz w:val="24"/>
          <w:szCs w:val="24"/>
        </w:rPr>
        <w:t>,</w:t>
      </w:r>
      <w:r w:rsidR="002E5537" w:rsidRPr="009B3C61">
        <w:rPr>
          <w:rFonts w:ascii="Times New Roman" w:hAnsi="Times New Roman" w:cs="Times New Roman"/>
          <w:sz w:val="24"/>
          <w:szCs w:val="24"/>
        </w:rPr>
        <w:t xml:space="preserve"> financiranje znanstveno–istraživačkog rada Instituta za poljoprivredu i turizam, </w:t>
      </w:r>
      <w:r w:rsidR="00C60F67" w:rsidRPr="009B3C61">
        <w:rPr>
          <w:rFonts w:ascii="Times New Roman" w:hAnsi="Times New Roman" w:cs="Times New Roman"/>
          <w:sz w:val="24"/>
          <w:szCs w:val="24"/>
        </w:rPr>
        <w:t xml:space="preserve">sve </w:t>
      </w:r>
      <w:r w:rsidR="00FB0DA1" w:rsidRPr="009B3C61">
        <w:rPr>
          <w:rFonts w:ascii="Times New Roman" w:hAnsi="Times New Roman" w:cs="Times New Roman"/>
          <w:sz w:val="24"/>
          <w:szCs w:val="24"/>
        </w:rPr>
        <w:t xml:space="preserve">temeljem sklopljenih </w:t>
      </w:r>
      <w:r w:rsidR="00707FDF" w:rsidRPr="009B3C61">
        <w:rPr>
          <w:rFonts w:ascii="Times New Roman" w:hAnsi="Times New Roman" w:cs="Times New Roman"/>
          <w:sz w:val="24"/>
          <w:szCs w:val="24"/>
        </w:rPr>
        <w:t>u</w:t>
      </w:r>
      <w:r w:rsidR="001468A7" w:rsidRPr="009B3C61">
        <w:rPr>
          <w:rFonts w:ascii="Times New Roman" w:hAnsi="Times New Roman" w:cs="Times New Roman"/>
          <w:sz w:val="24"/>
          <w:szCs w:val="24"/>
        </w:rPr>
        <w:t>govora o</w:t>
      </w:r>
      <w:r w:rsidR="004E16D0" w:rsidRPr="009B3C61">
        <w:rPr>
          <w:rFonts w:ascii="Times New Roman" w:hAnsi="Times New Roman" w:cs="Times New Roman"/>
          <w:sz w:val="24"/>
          <w:szCs w:val="24"/>
        </w:rPr>
        <w:t xml:space="preserve"> korištenju sredstava Proračuna</w:t>
      </w:r>
      <w:r w:rsidR="001E64EF">
        <w:rPr>
          <w:rFonts w:ascii="Times New Roman" w:hAnsi="Times New Roman" w:cs="Times New Roman"/>
          <w:sz w:val="24"/>
          <w:szCs w:val="24"/>
        </w:rPr>
        <w:t>.</w:t>
      </w:r>
    </w:p>
    <w:p w14:paraId="2E654788" w14:textId="40AE1A41" w:rsidR="003D3DED" w:rsidRPr="00A32EC2" w:rsidRDefault="00A32EC2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0DA1" w:rsidRPr="001E7C88">
        <w:rPr>
          <w:rFonts w:ascii="Times New Roman" w:hAnsi="Times New Roman" w:cs="Times New Roman"/>
          <w:b/>
          <w:sz w:val="24"/>
          <w:szCs w:val="24"/>
        </w:rPr>
        <w:t xml:space="preserve">  4.6.</w:t>
      </w:r>
      <w:r w:rsidR="003D3DED" w:rsidRPr="001E7C88">
        <w:rPr>
          <w:rFonts w:ascii="Times New Roman" w:hAnsi="Times New Roman" w:cs="Times New Roman"/>
          <w:b/>
          <w:sz w:val="24"/>
          <w:szCs w:val="24"/>
        </w:rPr>
        <w:t xml:space="preserve"> NAKNADE GRAĐANIMA I KUĆANSTVIMA</w:t>
      </w:r>
    </w:p>
    <w:p w14:paraId="0F116520" w14:textId="0FCAC25D" w:rsidR="00E22FF4" w:rsidRPr="009F2546" w:rsidRDefault="003D3DED" w:rsidP="00FB0DA1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1E7C88">
        <w:rPr>
          <w:rFonts w:ascii="Times New Roman" w:hAnsi="Times New Roman" w:cs="Times New Roman"/>
          <w:sz w:val="24"/>
          <w:szCs w:val="24"/>
        </w:rPr>
        <w:t>Rashodi nastali isplata</w:t>
      </w:r>
      <w:r w:rsidR="00B14149" w:rsidRPr="001E7C88">
        <w:rPr>
          <w:rFonts w:ascii="Times New Roman" w:hAnsi="Times New Roman" w:cs="Times New Roman"/>
          <w:sz w:val="24"/>
          <w:szCs w:val="24"/>
        </w:rPr>
        <w:t>ma</w:t>
      </w:r>
      <w:r w:rsidRPr="001E7C88">
        <w:rPr>
          <w:rFonts w:ascii="Times New Roman" w:hAnsi="Times New Roman" w:cs="Times New Roman"/>
          <w:sz w:val="24"/>
          <w:szCs w:val="24"/>
        </w:rPr>
        <w:t xml:space="preserve"> naknada građanima i kućanstvima ostvareni su u visini od </w:t>
      </w:r>
      <w:r w:rsidR="00012DA7">
        <w:rPr>
          <w:rFonts w:ascii="Times New Roman" w:hAnsi="Times New Roman" w:cs="Times New Roman"/>
          <w:sz w:val="24"/>
          <w:szCs w:val="24"/>
        </w:rPr>
        <w:t>1.022.539,08</w:t>
      </w:r>
      <w:r w:rsidR="00923814">
        <w:rPr>
          <w:rFonts w:ascii="Times New Roman" w:hAnsi="Times New Roman" w:cs="Times New Roman"/>
          <w:sz w:val="24"/>
          <w:szCs w:val="24"/>
        </w:rPr>
        <w:t xml:space="preserve"> eura</w:t>
      </w:r>
      <w:r w:rsidRPr="001E7C88">
        <w:rPr>
          <w:rFonts w:ascii="Times New Roman" w:hAnsi="Times New Roman" w:cs="Times New Roman"/>
          <w:sz w:val="24"/>
          <w:szCs w:val="24"/>
        </w:rPr>
        <w:t>. U odnosu na Plan za 20</w:t>
      </w:r>
      <w:r w:rsidR="00CE3535" w:rsidRPr="001E7C88">
        <w:rPr>
          <w:rFonts w:ascii="Times New Roman" w:hAnsi="Times New Roman" w:cs="Times New Roman"/>
          <w:sz w:val="24"/>
          <w:szCs w:val="24"/>
        </w:rPr>
        <w:t>2</w:t>
      </w:r>
      <w:r w:rsidR="00012DA7">
        <w:rPr>
          <w:rFonts w:ascii="Times New Roman" w:hAnsi="Times New Roman" w:cs="Times New Roman"/>
          <w:sz w:val="24"/>
          <w:szCs w:val="24"/>
        </w:rPr>
        <w:t>5</w:t>
      </w:r>
      <w:r w:rsidRPr="001E7C88">
        <w:rPr>
          <w:rFonts w:ascii="Times New Roman" w:hAnsi="Times New Roman" w:cs="Times New Roman"/>
          <w:sz w:val="24"/>
          <w:szCs w:val="24"/>
        </w:rPr>
        <w:t xml:space="preserve">. godinu ostvareno je </w:t>
      </w:r>
      <w:r w:rsidR="00012DA7">
        <w:rPr>
          <w:rFonts w:ascii="Times New Roman" w:hAnsi="Times New Roman" w:cs="Times New Roman"/>
          <w:sz w:val="24"/>
          <w:szCs w:val="24"/>
        </w:rPr>
        <w:t>61</w:t>
      </w:r>
      <w:r w:rsidRPr="001E7C88">
        <w:rPr>
          <w:rFonts w:ascii="Times New Roman" w:hAnsi="Times New Roman" w:cs="Times New Roman"/>
          <w:sz w:val="24"/>
          <w:szCs w:val="24"/>
        </w:rPr>
        <w:t>%  planiranih rashoda, a u odnosu na izvršen</w:t>
      </w:r>
      <w:r w:rsidR="0016123F" w:rsidRPr="001E7C88">
        <w:rPr>
          <w:rFonts w:ascii="Times New Roman" w:hAnsi="Times New Roman" w:cs="Times New Roman"/>
          <w:sz w:val="24"/>
          <w:szCs w:val="24"/>
        </w:rPr>
        <w:t>j</w:t>
      </w:r>
      <w:r w:rsidRPr="001E7C88">
        <w:rPr>
          <w:rFonts w:ascii="Times New Roman" w:hAnsi="Times New Roman" w:cs="Times New Roman"/>
          <w:sz w:val="24"/>
          <w:szCs w:val="24"/>
        </w:rPr>
        <w:t>e u istom razdoblju prethodne godine realizacija je</w:t>
      </w:r>
      <w:r w:rsidR="00AA2FA2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012DA7">
        <w:rPr>
          <w:rFonts w:ascii="Times New Roman" w:hAnsi="Times New Roman" w:cs="Times New Roman"/>
          <w:sz w:val="24"/>
          <w:szCs w:val="24"/>
        </w:rPr>
        <w:t xml:space="preserve">veća </w:t>
      </w:r>
      <w:r w:rsidR="005B2091">
        <w:rPr>
          <w:rFonts w:ascii="Times New Roman" w:hAnsi="Times New Roman" w:cs="Times New Roman"/>
          <w:sz w:val="24"/>
          <w:szCs w:val="24"/>
        </w:rPr>
        <w:t xml:space="preserve">za </w:t>
      </w:r>
      <w:r w:rsidR="00012DA7">
        <w:rPr>
          <w:rFonts w:ascii="Times New Roman" w:hAnsi="Times New Roman" w:cs="Times New Roman"/>
          <w:sz w:val="24"/>
          <w:szCs w:val="24"/>
        </w:rPr>
        <w:t>59</w:t>
      </w:r>
      <w:r w:rsidR="00AA2FA2" w:rsidRPr="001E7C88">
        <w:rPr>
          <w:rFonts w:ascii="Times New Roman" w:hAnsi="Times New Roman" w:cs="Times New Roman"/>
          <w:sz w:val="24"/>
          <w:szCs w:val="24"/>
        </w:rPr>
        <w:t>%</w:t>
      </w:r>
      <w:r w:rsidR="001468A7" w:rsidRPr="001E7C88">
        <w:rPr>
          <w:rFonts w:ascii="Times New Roman" w:hAnsi="Times New Roman" w:cs="Times New Roman"/>
          <w:sz w:val="24"/>
          <w:szCs w:val="24"/>
        </w:rPr>
        <w:t>.</w:t>
      </w:r>
      <w:r w:rsidR="00C905D2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Navedene naknade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odnose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se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na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sufinanciranje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prijevoza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FB0DA1" w:rsidRPr="001E7C88">
        <w:rPr>
          <w:rFonts w:ascii="Times New Roman" w:hAnsi="Times New Roman" w:cs="Times New Roman"/>
          <w:sz w:val="24"/>
          <w:szCs w:val="24"/>
        </w:rPr>
        <w:t>č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enika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,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FB0DA1" w:rsidRPr="001E7C88">
        <w:rPr>
          <w:rFonts w:ascii="Times New Roman" w:hAnsi="Times New Roman" w:cs="Times New Roman"/>
          <w:sz w:val="24"/>
          <w:szCs w:val="24"/>
        </w:rPr>
        <w:t>č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eni</w:t>
      </w:r>
      <w:r w:rsidR="00FB0DA1" w:rsidRPr="001E7C88">
        <w:rPr>
          <w:rFonts w:ascii="Times New Roman" w:hAnsi="Times New Roman" w:cs="Times New Roman"/>
          <w:sz w:val="24"/>
          <w:szCs w:val="24"/>
        </w:rPr>
        <w:t>č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ke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studentske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stipendije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,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potpore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pomo</w:t>
      </w:r>
      <w:r w:rsidR="00FB0DA1" w:rsidRPr="001E7C88">
        <w:rPr>
          <w:rFonts w:ascii="Times New Roman" w:hAnsi="Times New Roman" w:cs="Times New Roman"/>
          <w:sz w:val="24"/>
          <w:szCs w:val="24"/>
        </w:rPr>
        <w:t>ć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socijalnom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programu</w:t>
      </w:r>
      <w:r w:rsidR="00BB4EC7">
        <w:rPr>
          <w:rFonts w:ascii="Times New Roman" w:hAnsi="Times New Roman" w:cs="Times New Roman"/>
          <w:sz w:val="24"/>
          <w:szCs w:val="24"/>
          <w:lang w:val="es-ES"/>
        </w:rPr>
        <w:t>, sufinanciranje dopunskog zdravstvenog osiguranja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umirovljenicima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grada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Pore</w:t>
      </w:r>
      <w:r w:rsidR="00FB0DA1" w:rsidRPr="001E7C88">
        <w:rPr>
          <w:rFonts w:ascii="Times New Roman" w:hAnsi="Times New Roman" w:cs="Times New Roman"/>
          <w:sz w:val="24"/>
          <w:szCs w:val="24"/>
        </w:rPr>
        <w:t>č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1E7C88" w:rsidRPr="001E7C88">
        <w:rPr>
          <w:rFonts w:ascii="Times New Roman" w:hAnsi="Times New Roman" w:cs="Times New Roman"/>
          <w:sz w:val="24"/>
          <w:szCs w:val="24"/>
          <w:lang w:val="es-ES"/>
        </w:rPr>
        <w:t xml:space="preserve"> te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sufinanciranje smještaja i programa ustanove Doma za starije i nemoćne osobe</w:t>
      </w:r>
      <w:r w:rsidR="00875728" w:rsidRPr="001E7C88">
        <w:rPr>
          <w:rFonts w:ascii="Times New Roman" w:hAnsi="Times New Roman" w:cs="Times New Roman"/>
          <w:sz w:val="24"/>
          <w:szCs w:val="24"/>
        </w:rPr>
        <w:t>.</w:t>
      </w:r>
    </w:p>
    <w:p w14:paraId="296132CD" w14:textId="77777777" w:rsidR="00FB0DA1" w:rsidRPr="008E01A2" w:rsidRDefault="003D3DED" w:rsidP="00FB0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1A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B0DA1" w:rsidRPr="008E01A2">
        <w:rPr>
          <w:rFonts w:ascii="Times New Roman" w:hAnsi="Times New Roman" w:cs="Times New Roman"/>
          <w:b/>
          <w:sz w:val="24"/>
          <w:szCs w:val="24"/>
        </w:rPr>
        <w:t>4.7.</w:t>
      </w:r>
      <w:r w:rsidRPr="008E01A2">
        <w:rPr>
          <w:rFonts w:ascii="Times New Roman" w:hAnsi="Times New Roman" w:cs="Times New Roman"/>
          <w:b/>
          <w:sz w:val="24"/>
          <w:szCs w:val="24"/>
        </w:rPr>
        <w:t xml:space="preserve"> OSTALI RASHODI</w:t>
      </w:r>
    </w:p>
    <w:p w14:paraId="10E6A277" w14:textId="33377DBF" w:rsidR="00FB0DA1" w:rsidRPr="008E01A2" w:rsidRDefault="003D3DED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8E01A2">
        <w:rPr>
          <w:rFonts w:ascii="Times New Roman" w:hAnsi="Times New Roman" w:cs="Times New Roman"/>
          <w:sz w:val="24"/>
          <w:szCs w:val="24"/>
        </w:rPr>
        <w:t xml:space="preserve">Ostali rashodi su kroz tekuće i kapitalne donacije, kazne i kapitalne pomoći ostvareni u iznosu od </w:t>
      </w:r>
      <w:r w:rsidR="00003F89">
        <w:rPr>
          <w:rFonts w:ascii="Times New Roman" w:hAnsi="Times New Roman" w:cs="Times New Roman"/>
          <w:sz w:val="24"/>
          <w:szCs w:val="24"/>
        </w:rPr>
        <w:t>2.228.570,37</w:t>
      </w:r>
      <w:r w:rsidR="004808EC">
        <w:rPr>
          <w:rFonts w:ascii="Times New Roman" w:hAnsi="Times New Roman" w:cs="Times New Roman"/>
          <w:sz w:val="24"/>
          <w:szCs w:val="24"/>
        </w:rPr>
        <w:t xml:space="preserve"> eura</w:t>
      </w:r>
      <w:r w:rsidRPr="008E01A2">
        <w:rPr>
          <w:rFonts w:ascii="Times New Roman" w:hAnsi="Times New Roman" w:cs="Times New Roman"/>
          <w:sz w:val="24"/>
          <w:szCs w:val="24"/>
        </w:rPr>
        <w:t>. U odnosu na planirana sredstva u 20</w:t>
      </w:r>
      <w:r w:rsidR="008E01A2" w:rsidRPr="008E01A2">
        <w:rPr>
          <w:rFonts w:ascii="Times New Roman" w:hAnsi="Times New Roman" w:cs="Times New Roman"/>
          <w:sz w:val="24"/>
          <w:szCs w:val="24"/>
        </w:rPr>
        <w:t>2</w:t>
      </w:r>
      <w:r w:rsidR="00003F89">
        <w:rPr>
          <w:rFonts w:ascii="Times New Roman" w:hAnsi="Times New Roman" w:cs="Times New Roman"/>
          <w:sz w:val="24"/>
          <w:szCs w:val="24"/>
        </w:rPr>
        <w:t>5</w:t>
      </w:r>
      <w:r w:rsidRPr="008E01A2">
        <w:rPr>
          <w:rFonts w:ascii="Times New Roman" w:hAnsi="Times New Roman" w:cs="Times New Roman"/>
          <w:sz w:val="24"/>
          <w:szCs w:val="24"/>
        </w:rPr>
        <w:t xml:space="preserve">. godini ostvareno je </w:t>
      </w:r>
      <w:r w:rsidR="00003F89">
        <w:rPr>
          <w:rFonts w:ascii="Times New Roman" w:hAnsi="Times New Roman" w:cs="Times New Roman"/>
          <w:sz w:val="24"/>
          <w:szCs w:val="24"/>
        </w:rPr>
        <w:t>51</w:t>
      </w:r>
      <w:r w:rsidRPr="008E01A2">
        <w:rPr>
          <w:rFonts w:ascii="Times New Roman" w:hAnsi="Times New Roman" w:cs="Times New Roman"/>
          <w:sz w:val="24"/>
          <w:szCs w:val="24"/>
        </w:rPr>
        <w:t xml:space="preserve">% Plana, dok je u odnosu na realizaciju u prethodnoj godini ostvareno </w:t>
      </w:r>
      <w:r w:rsidR="001E64EF">
        <w:rPr>
          <w:rFonts w:ascii="Times New Roman" w:hAnsi="Times New Roman" w:cs="Times New Roman"/>
          <w:sz w:val="24"/>
          <w:szCs w:val="24"/>
        </w:rPr>
        <w:t xml:space="preserve">povećanje od </w:t>
      </w:r>
      <w:r w:rsidR="00003F89">
        <w:rPr>
          <w:rFonts w:ascii="Times New Roman" w:hAnsi="Times New Roman" w:cs="Times New Roman"/>
          <w:sz w:val="24"/>
          <w:szCs w:val="24"/>
        </w:rPr>
        <w:t>43</w:t>
      </w:r>
      <w:r w:rsidR="001E64EF">
        <w:rPr>
          <w:rFonts w:ascii="Times New Roman" w:hAnsi="Times New Roman" w:cs="Times New Roman"/>
          <w:sz w:val="24"/>
          <w:szCs w:val="24"/>
        </w:rPr>
        <w:t>%</w:t>
      </w:r>
      <w:r w:rsidR="004808EC">
        <w:rPr>
          <w:rFonts w:ascii="Times New Roman" w:hAnsi="Times New Roman" w:cs="Times New Roman"/>
          <w:sz w:val="24"/>
          <w:szCs w:val="24"/>
        </w:rPr>
        <w:t>.</w:t>
      </w:r>
      <w:r w:rsidR="00FB0DA1" w:rsidRPr="008E01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F36759" w14:textId="3413F03A" w:rsidR="00FB0DA1" w:rsidRDefault="00FB0DA1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E42EA9">
        <w:rPr>
          <w:rFonts w:ascii="Times New Roman" w:hAnsi="Times New Roman" w:cs="Times New Roman"/>
          <w:sz w:val="24"/>
          <w:szCs w:val="24"/>
        </w:rPr>
        <w:t>T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eku</w:t>
      </w:r>
      <w:r w:rsidRPr="00E42EA9">
        <w:rPr>
          <w:rFonts w:ascii="Times New Roman" w:hAnsi="Times New Roman" w:cs="Times New Roman"/>
          <w:sz w:val="24"/>
          <w:szCs w:val="24"/>
        </w:rPr>
        <w:t>ć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2A1960"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donacije ostvarene</w:t>
      </w:r>
      <w:r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iznosu</w:t>
      </w:r>
      <w:r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="004808EC">
        <w:rPr>
          <w:rFonts w:ascii="Times New Roman" w:hAnsi="Times New Roman" w:cs="Times New Roman"/>
          <w:sz w:val="24"/>
          <w:szCs w:val="24"/>
        </w:rPr>
        <w:t>1.</w:t>
      </w:r>
      <w:r w:rsidR="00003F89">
        <w:rPr>
          <w:rFonts w:ascii="Times New Roman" w:hAnsi="Times New Roman" w:cs="Times New Roman"/>
          <w:sz w:val="24"/>
          <w:szCs w:val="24"/>
        </w:rPr>
        <w:t>908.366,61</w:t>
      </w:r>
      <w:r w:rsidR="004808EC">
        <w:rPr>
          <w:rFonts w:ascii="Times New Roman" w:hAnsi="Times New Roman" w:cs="Times New Roman"/>
          <w:sz w:val="24"/>
          <w:szCs w:val="24"/>
        </w:rPr>
        <w:t xml:space="preserve"> eura</w:t>
      </w:r>
      <w:r w:rsidR="00B14149" w:rsidRPr="00E42EA9">
        <w:rPr>
          <w:rFonts w:ascii="Times New Roman" w:hAnsi="Times New Roman" w:cs="Times New Roman"/>
          <w:sz w:val="24"/>
          <w:szCs w:val="24"/>
          <w:lang w:val="es-ES"/>
        </w:rPr>
        <w:t xml:space="preserve"> čime je godišnji plan ostvaren u </w:t>
      </w:r>
      <w:r w:rsidR="00003F89">
        <w:rPr>
          <w:rFonts w:ascii="Times New Roman" w:hAnsi="Times New Roman" w:cs="Times New Roman"/>
          <w:sz w:val="24"/>
          <w:szCs w:val="24"/>
          <w:lang w:val="es-ES"/>
        </w:rPr>
        <w:t>70</w:t>
      </w:r>
      <w:r w:rsidRPr="00E42EA9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Pr="00E42EA9">
        <w:rPr>
          <w:rFonts w:ascii="Times New Roman" w:hAnsi="Times New Roman" w:cs="Times New Roman"/>
          <w:sz w:val="24"/>
          <w:szCs w:val="24"/>
        </w:rPr>
        <w:t>tno</w:t>
      </w:r>
      <w:r w:rsidR="00B14149" w:rsidRPr="00E42EA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="00B14149" w:rsidRPr="00E42EA9">
        <w:rPr>
          <w:rFonts w:ascii="Times New Roman" w:hAnsi="Times New Roman" w:cs="Times New Roman"/>
          <w:sz w:val="24"/>
          <w:szCs w:val="24"/>
        </w:rPr>
        <w:t xml:space="preserve">iznosu. </w:t>
      </w:r>
      <w:r w:rsidRPr="004A43DF">
        <w:rPr>
          <w:rFonts w:ascii="Times New Roman" w:hAnsi="Times New Roman" w:cs="Times New Roman"/>
          <w:sz w:val="24"/>
          <w:szCs w:val="24"/>
        </w:rPr>
        <w:t>Odnose se na financiranje polit</w:t>
      </w:r>
      <w:r w:rsidR="009858D6">
        <w:rPr>
          <w:rFonts w:ascii="Times New Roman" w:hAnsi="Times New Roman" w:cs="Times New Roman"/>
          <w:sz w:val="24"/>
          <w:szCs w:val="24"/>
        </w:rPr>
        <w:t xml:space="preserve">ičkih stranaka sukladno Odluci, </w:t>
      </w:r>
      <w:r w:rsidRPr="004A43DF">
        <w:rPr>
          <w:rFonts w:ascii="Times New Roman" w:hAnsi="Times New Roman" w:cs="Times New Roman"/>
          <w:sz w:val="24"/>
          <w:szCs w:val="24"/>
        </w:rPr>
        <w:t>donacije u obrazovanju, donacije ostalim korisnicima u kulturi (udruge), sportu, udrugama u tehničkoj kulturi, te u socijalno humanitarnim udrugama, ostalim programima i udrugama, tekuće</w:t>
      </w:r>
      <w:r w:rsidRPr="004A4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3DF">
        <w:rPr>
          <w:rFonts w:ascii="Times New Roman" w:hAnsi="Times New Roman" w:cs="Times New Roman"/>
          <w:sz w:val="24"/>
          <w:szCs w:val="24"/>
        </w:rPr>
        <w:t>donacije</w:t>
      </w:r>
      <w:r w:rsidRPr="004A4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3DF">
        <w:rPr>
          <w:rFonts w:ascii="Times New Roman" w:hAnsi="Times New Roman" w:cs="Times New Roman"/>
          <w:sz w:val="24"/>
          <w:szCs w:val="24"/>
        </w:rPr>
        <w:t>za</w:t>
      </w:r>
      <w:r w:rsidR="004234E8" w:rsidRPr="004A43DF">
        <w:rPr>
          <w:rFonts w:ascii="Times New Roman" w:hAnsi="Times New Roman" w:cs="Times New Roman"/>
          <w:sz w:val="24"/>
          <w:szCs w:val="24"/>
        </w:rPr>
        <w:t xml:space="preserve"> </w:t>
      </w:r>
      <w:r w:rsidR="00CF63CD" w:rsidRPr="004A43DF">
        <w:rPr>
          <w:rFonts w:ascii="Times New Roman" w:hAnsi="Times New Roman" w:cs="Times New Roman"/>
          <w:sz w:val="24"/>
          <w:szCs w:val="24"/>
        </w:rPr>
        <w:t>Područnu v</w:t>
      </w:r>
      <w:r w:rsidRPr="004A43DF">
        <w:rPr>
          <w:rFonts w:ascii="Times New Roman" w:hAnsi="Times New Roman" w:cs="Times New Roman"/>
          <w:sz w:val="24"/>
          <w:szCs w:val="24"/>
        </w:rPr>
        <w:t xml:space="preserve">atrogasnu </w:t>
      </w:r>
      <w:r w:rsidRPr="002F73C2">
        <w:rPr>
          <w:rFonts w:ascii="Times New Roman" w:hAnsi="Times New Roman" w:cs="Times New Roman"/>
          <w:sz w:val="24"/>
          <w:szCs w:val="24"/>
        </w:rPr>
        <w:t>zajednicu</w:t>
      </w:r>
      <w:r w:rsidR="00382668" w:rsidRPr="002F73C2">
        <w:rPr>
          <w:rFonts w:ascii="Times New Roman" w:hAnsi="Times New Roman" w:cs="Times New Roman"/>
          <w:sz w:val="24"/>
          <w:szCs w:val="24"/>
        </w:rPr>
        <w:t xml:space="preserve"> i civilnu zaštitu u nadležnosti lokalne samouprave</w:t>
      </w:r>
      <w:r w:rsidR="0008321C">
        <w:rPr>
          <w:rFonts w:ascii="Times New Roman" w:hAnsi="Times New Roman" w:cs="Times New Roman"/>
          <w:sz w:val="24"/>
          <w:szCs w:val="24"/>
        </w:rPr>
        <w:t xml:space="preserve"> kao i </w:t>
      </w:r>
      <w:r w:rsidR="009858D6">
        <w:rPr>
          <w:rFonts w:ascii="Times New Roman" w:hAnsi="Times New Roman" w:cs="Times New Roman"/>
          <w:sz w:val="24"/>
          <w:szCs w:val="24"/>
        </w:rPr>
        <w:t>na</w:t>
      </w:r>
      <w:r w:rsidR="00876ABB" w:rsidRPr="002F73C2">
        <w:rPr>
          <w:rFonts w:ascii="Times New Roman" w:hAnsi="Times New Roman" w:cs="Times New Roman"/>
          <w:sz w:val="24"/>
          <w:szCs w:val="24"/>
        </w:rPr>
        <w:t xml:space="preserve"> </w:t>
      </w:r>
      <w:r w:rsidRPr="002F73C2">
        <w:rPr>
          <w:rFonts w:ascii="Times New Roman" w:hAnsi="Times New Roman" w:cs="Times New Roman"/>
          <w:sz w:val="24"/>
          <w:szCs w:val="24"/>
        </w:rPr>
        <w:t>financiranje rada Sportske zajednice Grada Poreča</w:t>
      </w:r>
      <w:r w:rsidR="002E649B" w:rsidRPr="002F73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E649B" w:rsidRPr="002F73C2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08321C">
        <w:rPr>
          <w:rFonts w:ascii="Times New Roman" w:hAnsi="Times New Roman" w:cs="Times New Roman"/>
          <w:sz w:val="24"/>
          <w:szCs w:val="24"/>
        </w:rPr>
        <w:t>.</w:t>
      </w:r>
    </w:p>
    <w:p w14:paraId="043322B9" w14:textId="3A766E51" w:rsidR="004808EC" w:rsidRPr="002F73C2" w:rsidRDefault="004808EC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2C6645">
        <w:rPr>
          <w:rFonts w:ascii="Times New Roman" w:hAnsi="Times New Roman" w:cs="Times New Roman"/>
          <w:sz w:val="24"/>
          <w:szCs w:val="24"/>
        </w:rPr>
        <w:t xml:space="preserve">Kapitalne donacije realizirane su u iznosu od </w:t>
      </w:r>
      <w:r w:rsidR="00003F89" w:rsidRPr="002C6645">
        <w:rPr>
          <w:rFonts w:ascii="Times New Roman" w:hAnsi="Times New Roman" w:cs="Times New Roman"/>
          <w:sz w:val="24"/>
          <w:szCs w:val="24"/>
        </w:rPr>
        <w:t>64.300</w:t>
      </w:r>
      <w:r w:rsidRPr="002C6645">
        <w:rPr>
          <w:rFonts w:ascii="Times New Roman" w:hAnsi="Times New Roman" w:cs="Times New Roman"/>
          <w:sz w:val="24"/>
          <w:szCs w:val="24"/>
        </w:rPr>
        <w:t xml:space="preserve"> eura </w:t>
      </w:r>
      <w:r w:rsidR="00B81139" w:rsidRPr="002C6645">
        <w:rPr>
          <w:rFonts w:ascii="Times New Roman" w:hAnsi="Times New Roman" w:cs="Times New Roman"/>
          <w:sz w:val="24"/>
          <w:szCs w:val="24"/>
        </w:rPr>
        <w:t xml:space="preserve">kojima se sufinancirala obnova fasada župne crkve </w:t>
      </w:r>
      <w:r w:rsidR="00453ADB" w:rsidRPr="002C6645">
        <w:rPr>
          <w:rFonts w:ascii="Times New Roman" w:hAnsi="Times New Roman" w:cs="Times New Roman"/>
          <w:sz w:val="24"/>
          <w:szCs w:val="24"/>
        </w:rPr>
        <w:t>s</w:t>
      </w:r>
      <w:r w:rsidR="00B81139" w:rsidRPr="002C6645">
        <w:rPr>
          <w:rFonts w:ascii="Times New Roman" w:hAnsi="Times New Roman" w:cs="Times New Roman"/>
          <w:sz w:val="24"/>
          <w:szCs w:val="24"/>
        </w:rPr>
        <w:t>vetog Ivana i Pavl</w:t>
      </w:r>
      <w:r w:rsidR="00453ADB" w:rsidRPr="002C6645">
        <w:rPr>
          <w:rFonts w:ascii="Times New Roman" w:hAnsi="Times New Roman" w:cs="Times New Roman"/>
          <w:sz w:val="24"/>
          <w:szCs w:val="24"/>
        </w:rPr>
        <w:t>a</w:t>
      </w:r>
      <w:r w:rsidR="00B81139" w:rsidRPr="002C6645">
        <w:rPr>
          <w:rFonts w:ascii="Times New Roman" w:hAnsi="Times New Roman" w:cs="Times New Roman"/>
          <w:sz w:val="24"/>
          <w:szCs w:val="24"/>
        </w:rPr>
        <w:t xml:space="preserve"> mučenika u </w:t>
      </w:r>
      <w:proofErr w:type="spellStart"/>
      <w:r w:rsidR="00B81139" w:rsidRPr="002C6645">
        <w:rPr>
          <w:rFonts w:ascii="Times New Roman" w:hAnsi="Times New Roman" w:cs="Times New Roman"/>
          <w:sz w:val="24"/>
          <w:szCs w:val="24"/>
        </w:rPr>
        <w:t>Žbandaju</w:t>
      </w:r>
      <w:proofErr w:type="spellEnd"/>
      <w:r w:rsidR="00B81139" w:rsidRPr="002C6645">
        <w:rPr>
          <w:rFonts w:ascii="Times New Roman" w:hAnsi="Times New Roman" w:cs="Times New Roman"/>
          <w:sz w:val="24"/>
          <w:szCs w:val="24"/>
        </w:rPr>
        <w:t xml:space="preserve"> i crkve Rođenja Blažene Djevice Marije u </w:t>
      </w:r>
      <w:proofErr w:type="spellStart"/>
      <w:r w:rsidR="00B81139" w:rsidRPr="002C6645">
        <w:rPr>
          <w:rFonts w:ascii="Times New Roman" w:hAnsi="Times New Roman" w:cs="Times New Roman"/>
          <w:sz w:val="24"/>
          <w:szCs w:val="24"/>
        </w:rPr>
        <w:t>Baderni</w:t>
      </w:r>
      <w:proofErr w:type="spellEnd"/>
      <w:r w:rsidR="00B81139" w:rsidRPr="002C6645">
        <w:rPr>
          <w:rFonts w:ascii="Times New Roman" w:hAnsi="Times New Roman" w:cs="Times New Roman"/>
          <w:sz w:val="24"/>
          <w:szCs w:val="24"/>
        </w:rPr>
        <w:t xml:space="preserve"> </w:t>
      </w:r>
      <w:r w:rsidR="00CF39F2" w:rsidRPr="002C6645">
        <w:rPr>
          <w:rFonts w:ascii="Times New Roman" w:hAnsi="Times New Roman" w:cs="Times New Roman"/>
          <w:sz w:val="24"/>
          <w:szCs w:val="24"/>
        </w:rPr>
        <w:t>te nabava vozila u Sportskoj zajednici Grada.</w:t>
      </w:r>
    </w:p>
    <w:p w14:paraId="05B5FDB6" w14:textId="35888695" w:rsidR="00714019" w:rsidRPr="009F2546" w:rsidRDefault="00FB0DA1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7B1788">
        <w:rPr>
          <w:rFonts w:ascii="Times New Roman" w:hAnsi="Times New Roman" w:cs="Times New Roman"/>
          <w:sz w:val="24"/>
          <w:szCs w:val="24"/>
        </w:rPr>
        <w:t xml:space="preserve">Kapitalne pomoći </w:t>
      </w:r>
      <w:r w:rsidR="003301C0" w:rsidRPr="007B1788">
        <w:rPr>
          <w:rFonts w:ascii="Times New Roman" w:hAnsi="Times New Roman" w:cs="Times New Roman"/>
          <w:sz w:val="24"/>
          <w:szCs w:val="24"/>
        </w:rPr>
        <w:t>realizirane su u visini od</w:t>
      </w:r>
      <w:r w:rsidR="00CF39F2">
        <w:rPr>
          <w:rFonts w:ascii="Times New Roman" w:hAnsi="Times New Roman" w:cs="Times New Roman"/>
          <w:sz w:val="24"/>
          <w:szCs w:val="24"/>
        </w:rPr>
        <w:t xml:space="preserve"> 255.903,76</w:t>
      </w:r>
      <w:r w:rsidR="00F6574B" w:rsidRPr="007B1788">
        <w:rPr>
          <w:rFonts w:ascii="Times New Roman" w:hAnsi="Times New Roman" w:cs="Times New Roman"/>
          <w:sz w:val="24"/>
          <w:szCs w:val="24"/>
        </w:rPr>
        <w:t xml:space="preserve"> eura</w:t>
      </w:r>
      <w:r w:rsidR="00EE5956" w:rsidRPr="007B1788">
        <w:rPr>
          <w:rFonts w:ascii="Times New Roman" w:hAnsi="Times New Roman" w:cs="Times New Roman"/>
          <w:sz w:val="24"/>
          <w:szCs w:val="24"/>
        </w:rPr>
        <w:t xml:space="preserve"> radi </w:t>
      </w:r>
      <w:r w:rsidRPr="007B1788">
        <w:rPr>
          <w:rFonts w:ascii="Times New Roman" w:hAnsi="Times New Roman" w:cs="Times New Roman"/>
          <w:sz w:val="24"/>
          <w:szCs w:val="24"/>
        </w:rPr>
        <w:t>otplat</w:t>
      </w:r>
      <w:r w:rsidR="00EE5956" w:rsidRPr="007B1788">
        <w:rPr>
          <w:rFonts w:ascii="Times New Roman" w:hAnsi="Times New Roman" w:cs="Times New Roman"/>
          <w:sz w:val="24"/>
          <w:szCs w:val="24"/>
        </w:rPr>
        <w:t>e</w:t>
      </w:r>
      <w:r w:rsidRPr="007B1788">
        <w:rPr>
          <w:rFonts w:ascii="Times New Roman" w:hAnsi="Times New Roman" w:cs="Times New Roman"/>
          <w:sz w:val="24"/>
          <w:szCs w:val="24"/>
        </w:rPr>
        <w:t xml:space="preserve"> </w:t>
      </w:r>
      <w:r w:rsidR="00EE5956" w:rsidRPr="007B1788">
        <w:rPr>
          <w:rFonts w:ascii="Times New Roman" w:hAnsi="Times New Roman" w:cs="Times New Roman"/>
          <w:sz w:val="24"/>
          <w:szCs w:val="24"/>
        </w:rPr>
        <w:t>g</w:t>
      </w:r>
      <w:r w:rsidR="003301C0" w:rsidRPr="007B1788">
        <w:rPr>
          <w:rFonts w:ascii="Times New Roman" w:hAnsi="Times New Roman" w:cs="Times New Roman"/>
          <w:sz w:val="24"/>
          <w:szCs w:val="24"/>
        </w:rPr>
        <w:t>lavnice kredita koje</w:t>
      </w:r>
      <w:r w:rsidR="004B0649" w:rsidRPr="007B1788">
        <w:rPr>
          <w:rFonts w:ascii="Times New Roman" w:hAnsi="Times New Roman" w:cs="Times New Roman"/>
          <w:sz w:val="24"/>
          <w:szCs w:val="24"/>
        </w:rPr>
        <w:t>g</w:t>
      </w:r>
      <w:r w:rsidR="003301C0" w:rsidRPr="007B1788">
        <w:rPr>
          <w:rFonts w:ascii="Times New Roman" w:hAnsi="Times New Roman" w:cs="Times New Roman"/>
          <w:sz w:val="24"/>
          <w:szCs w:val="24"/>
        </w:rPr>
        <w:t xml:space="preserve"> otplaćuje trgovačko društvo </w:t>
      </w:r>
      <w:proofErr w:type="spellStart"/>
      <w:r w:rsidR="003301C0" w:rsidRPr="007B1788">
        <w:rPr>
          <w:rFonts w:ascii="Times New Roman" w:hAnsi="Times New Roman" w:cs="Times New Roman"/>
          <w:sz w:val="24"/>
          <w:szCs w:val="24"/>
        </w:rPr>
        <w:t>Parentium</w:t>
      </w:r>
      <w:proofErr w:type="spellEnd"/>
      <w:r w:rsidR="003301C0" w:rsidRPr="007B1788">
        <w:rPr>
          <w:rFonts w:ascii="Times New Roman" w:hAnsi="Times New Roman" w:cs="Times New Roman"/>
          <w:sz w:val="24"/>
          <w:szCs w:val="24"/>
        </w:rPr>
        <w:t xml:space="preserve"> d.o.o. iskorištenog za izgradnju sportske dvorane </w:t>
      </w:r>
      <w:proofErr w:type="spellStart"/>
      <w:r w:rsidR="003301C0" w:rsidRPr="007B1788">
        <w:rPr>
          <w:rFonts w:ascii="Times New Roman" w:hAnsi="Times New Roman" w:cs="Times New Roman"/>
          <w:sz w:val="24"/>
          <w:szCs w:val="24"/>
        </w:rPr>
        <w:t>Žatika</w:t>
      </w:r>
      <w:proofErr w:type="spellEnd"/>
      <w:r w:rsidR="00CF39F2">
        <w:rPr>
          <w:rFonts w:ascii="Times New Roman" w:hAnsi="Times New Roman" w:cs="Times New Roman"/>
          <w:sz w:val="24"/>
          <w:szCs w:val="24"/>
        </w:rPr>
        <w:t>.</w:t>
      </w:r>
      <w:r w:rsidR="00B95871" w:rsidRPr="007B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2E07F" w14:textId="00686598" w:rsidR="00C408AA" w:rsidRPr="00714019" w:rsidRDefault="002E67D1" w:rsidP="002E67D1">
      <w:pPr>
        <w:ind w:left="851"/>
        <w:rPr>
          <w:rFonts w:ascii="Times New Roman" w:hAnsi="Times New Roman" w:cs="Times New Roman"/>
          <w:b/>
          <w:sz w:val="24"/>
          <w:szCs w:val="24"/>
        </w:rPr>
      </w:pPr>
      <w:r w:rsidRPr="00714019">
        <w:rPr>
          <w:rFonts w:ascii="Times New Roman" w:hAnsi="Times New Roman" w:cs="Times New Roman"/>
          <w:b/>
          <w:sz w:val="24"/>
          <w:szCs w:val="24"/>
        </w:rPr>
        <w:t>4.8.</w:t>
      </w:r>
      <w:r w:rsidR="00A32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C46" w:rsidRPr="00714019">
        <w:rPr>
          <w:rFonts w:ascii="Times New Roman" w:hAnsi="Times New Roman" w:cs="Times New Roman"/>
          <w:b/>
          <w:sz w:val="24"/>
          <w:szCs w:val="24"/>
        </w:rPr>
        <w:t>RASHODI ZA NABAVU NEFINANCIJSKE  IMOVINE</w:t>
      </w:r>
    </w:p>
    <w:p w14:paraId="01FB3684" w14:textId="3BC59A21" w:rsidR="00D15F58" w:rsidRPr="00714019" w:rsidRDefault="003301C0" w:rsidP="00D15F58">
      <w:pPr>
        <w:jc w:val="both"/>
        <w:rPr>
          <w:rFonts w:ascii="Times New Roman" w:hAnsi="Times New Roman" w:cs="Times New Roman"/>
          <w:sz w:val="24"/>
        </w:rPr>
      </w:pPr>
      <w:r w:rsidRPr="00714019">
        <w:rPr>
          <w:rFonts w:ascii="Times New Roman" w:hAnsi="Times New Roman" w:cs="Times New Roman"/>
          <w:sz w:val="24"/>
          <w:lang w:val="es-ES"/>
        </w:rPr>
        <w:t>Kapitalni rashodi ostvareni</w:t>
      </w:r>
      <w:r w:rsidRPr="00714019">
        <w:rPr>
          <w:rFonts w:ascii="Times New Roman" w:hAnsi="Times New Roman" w:cs="Times New Roman"/>
          <w:sz w:val="24"/>
        </w:rPr>
        <w:t xml:space="preserve"> </w:t>
      </w:r>
      <w:r w:rsidRPr="00714019">
        <w:rPr>
          <w:rFonts w:ascii="Times New Roman" w:hAnsi="Times New Roman" w:cs="Times New Roman"/>
          <w:sz w:val="24"/>
          <w:lang w:val="es-ES"/>
        </w:rPr>
        <w:t>su</w:t>
      </w:r>
      <w:r w:rsidRPr="00714019">
        <w:rPr>
          <w:rFonts w:ascii="Times New Roman" w:hAnsi="Times New Roman" w:cs="Times New Roman"/>
          <w:sz w:val="24"/>
        </w:rPr>
        <w:t xml:space="preserve"> </w:t>
      </w:r>
      <w:r w:rsidRPr="00714019">
        <w:rPr>
          <w:rFonts w:ascii="Times New Roman" w:hAnsi="Times New Roman" w:cs="Times New Roman"/>
          <w:sz w:val="24"/>
          <w:lang w:val="es-ES"/>
        </w:rPr>
        <w:t>u</w:t>
      </w:r>
      <w:r w:rsidRPr="00714019">
        <w:rPr>
          <w:rFonts w:ascii="Times New Roman" w:hAnsi="Times New Roman" w:cs="Times New Roman"/>
          <w:sz w:val="24"/>
        </w:rPr>
        <w:t xml:space="preserve"> </w:t>
      </w:r>
      <w:r w:rsidRPr="00714019">
        <w:rPr>
          <w:rFonts w:ascii="Times New Roman" w:hAnsi="Times New Roman" w:cs="Times New Roman"/>
          <w:sz w:val="24"/>
          <w:lang w:val="es-ES"/>
        </w:rPr>
        <w:t>iznosu</w:t>
      </w:r>
      <w:r w:rsidRPr="00714019">
        <w:rPr>
          <w:rFonts w:ascii="Times New Roman" w:hAnsi="Times New Roman" w:cs="Times New Roman"/>
          <w:sz w:val="24"/>
        </w:rPr>
        <w:t xml:space="preserve"> </w:t>
      </w:r>
      <w:r w:rsidRPr="00714019">
        <w:rPr>
          <w:rFonts w:ascii="Times New Roman" w:hAnsi="Times New Roman" w:cs="Times New Roman"/>
          <w:sz w:val="24"/>
          <w:lang w:val="es-ES"/>
        </w:rPr>
        <w:t>od</w:t>
      </w:r>
      <w:r w:rsidR="008047DD">
        <w:rPr>
          <w:rFonts w:ascii="Times New Roman" w:hAnsi="Times New Roman" w:cs="Times New Roman"/>
          <w:sz w:val="24"/>
          <w:lang w:val="es-ES"/>
        </w:rPr>
        <w:t xml:space="preserve"> </w:t>
      </w:r>
      <w:r w:rsidR="00CF39F2">
        <w:rPr>
          <w:rFonts w:ascii="Times New Roman" w:hAnsi="Times New Roman" w:cs="Times New Roman"/>
          <w:sz w:val="24"/>
          <w:lang w:val="es-ES"/>
        </w:rPr>
        <w:t>7.537.040,45</w:t>
      </w:r>
      <w:r w:rsidR="008047DD">
        <w:rPr>
          <w:rFonts w:ascii="Times New Roman" w:hAnsi="Times New Roman" w:cs="Times New Roman"/>
          <w:sz w:val="24"/>
          <w:lang w:val="es-ES"/>
        </w:rPr>
        <w:t xml:space="preserve"> eura čime </w:t>
      </w:r>
      <w:r w:rsidR="000A55FB" w:rsidRPr="00714019">
        <w:rPr>
          <w:rFonts w:ascii="Times New Roman" w:hAnsi="Times New Roman" w:cs="Times New Roman"/>
          <w:sz w:val="24"/>
        </w:rPr>
        <w:t xml:space="preserve"> je do 30. lipnja ostvareno </w:t>
      </w:r>
      <w:r w:rsidR="00CF39F2">
        <w:rPr>
          <w:rFonts w:ascii="Times New Roman" w:hAnsi="Times New Roman" w:cs="Times New Roman"/>
          <w:sz w:val="24"/>
        </w:rPr>
        <w:t>27</w:t>
      </w:r>
      <w:r w:rsidR="000A55FB" w:rsidRPr="00714019">
        <w:rPr>
          <w:rFonts w:ascii="Times New Roman" w:hAnsi="Times New Roman" w:cs="Times New Roman"/>
          <w:sz w:val="24"/>
        </w:rPr>
        <w:t xml:space="preserve"> % </w:t>
      </w:r>
      <w:r w:rsidR="00CF39F2">
        <w:rPr>
          <w:rFonts w:ascii="Times New Roman" w:hAnsi="Times New Roman" w:cs="Times New Roman"/>
          <w:sz w:val="24"/>
        </w:rPr>
        <w:t xml:space="preserve"> </w:t>
      </w:r>
      <w:r w:rsidR="008B05AC" w:rsidRPr="00714019">
        <w:rPr>
          <w:rFonts w:ascii="Times New Roman" w:hAnsi="Times New Roman" w:cs="Times New Roman"/>
          <w:sz w:val="24"/>
        </w:rPr>
        <w:t>Plana za 20</w:t>
      </w:r>
      <w:r w:rsidR="003724E8" w:rsidRPr="00714019">
        <w:rPr>
          <w:rFonts w:ascii="Times New Roman" w:hAnsi="Times New Roman" w:cs="Times New Roman"/>
          <w:sz w:val="24"/>
        </w:rPr>
        <w:t>2</w:t>
      </w:r>
      <w:r w:rsidR="00CF39F2">
        <w:rPr>
          <w:rFonts w:ascii="Times New Roman" w:hAnsi="Times New Roman" w:cs="Times New Roman"/>
          <w:sz w:val="24"/>
        </w:rPr>
        <w:t>5</w:t>
      </w:r>
      <w:r w:rsidR="008B05AC" w:rsidRPr="00714019">
        <w:rPr>
          <w:rFonts w:ascii="Times New Roman" w:hAnsi="Times New Roman" w:cs="Times New Roman"/>
          <w:sz w:val="24"/>
        </w:rPr>
        <w:t>. godinu.</w:t>
      </w:r>
    </w:p>
    <w:p w14:paraId="790AC6E7" w14:textId="0D8C69C6" w:rsidR="006E2728" w:rsidRPr="00CF39F2" w:rsidRDefault="003301C0" w:rsidP="00D15F58">
      <w:pPr>
        <w:jc w:val="both"/>
        <w:rPr>
          <w:rFonts w:ascii="Times New Roman" w:hAnsi="Times New Roman" w:cs="Times New Roman"/>
          <w:color w:val="FF0000"/>
          <w:sz w:val="24"/>
          <w:lang w:val="es-ES"/>
        </w:rPr>
      </w:pPr>
      <w:r w:rsidRPr="006D02FC">
        <w:rPr>
          <w:rFonts w:ascii="Times New Roman" w:hAnsi="Times New Roman" w:cs="Times New Roman"/>
          <w:sz w:val="24"/>
          <w:lang w:val="es-ES"/>
        </w:rPr>
        <w:t xml:space="preserve">Rashodi za nabavu neproizvedene </w:t>
      </w:r>
      <w:r w:rsidRPr="002F73C2">
        <w:rPr>
          <w:rFonts w:ascii="Times New Roman" w:hAnsi="Times New Roman" w:cs="Times New Roman"/>
          <w:sz w:val="24"/>
          <w:lang w:val="es-ES"/>
        </w:rPr>
        <w:t xml:space="preserve">dugotrajne imovine su realizirani u iznosu od </w:t>
      </w:r>
      <w:r w:rsidR="00CF39F2">
        <w:rPr>
          <w:rFonts w:ascii="Times New Roman" w:hAnsi="Times New Roman" w:cs="Times New Roman"/>
          <w:sz w:val="24"/>
          <w:lang w:val="es-ES"/>
        </w:rPr>
        <w:t>131.443,21</w:t>
      </w:r>
      <w:r w:rsidR="008047DD">
        <w:rPr>
          <w:rFonts w:ascii="Times New Roman" w:hAnsi="Times New Roman" w:cs="Times New Roman"/>
          <w:sz w:val="24"/>
          <w:lang w:val="es-ES"/>
        </w:rPr>
        <w:t xml:space="preserve"> eura</w:t>
      </w:r>
      <w:r w:rsidRPr="002F73C2">
        <w:rPr>
          <w:rFonts w:ascii="Times New Roman" w:hAnsi="Times New Roman" w:cs="Times New Roman"/>
          <w:sz w:val="24"/>
          <w:lang w:val="es-ES"/>
        </w:rPr>
        <w:t xml:space="preserve">, </w:t>
      </w:r>
      <w:r w:rsidR="008B05AC" w:rsidRPr="002F73C2">
        <w:rPr>
          <w:rFonts w:ascii="Times New Roman" w:hAnsi="Times New Roman" w:cs="Times New Roman"/>
          <w:sz w:val="24"/>
          <w:lang w:val="es-ES"/>
        </w:rPr>
        <w:t xml:space="preserve">a </w:t>
      </w:r>
      <w:r w:rsidRPr="002F73C2">
        <w:rPr>
          <w:rFonts w:ascii="Times New Roman" w:hAnsi="Times New Roman" w:cs="Times New Roman"/>
          <w:sz w:val="24"/>
          <w:lang w:val="es-ES"/>
        </w:rPr>
        <w:t xml:space="preserve">odnose </w:t>
      </w:r>
      <w:r w:rsidR="008B05AC" w:rsidRPr="002F73C2">
        <w:rPr>
          <w:rFonts w:ascii="Times New Roman" w:hAnsi="Times New Roman" w:cs="Times New Roman"/>
          <w:sz w:val="24"/>
          <w:lang w:val="es-ES"/>
        </w:rPr>
        <w:t xml:space="preserve">se </w:t>
      </w:r>
      <w:r w:rsidRPr="002F73C2">
        <w:rPr>
          <w:rFonts w:ascii="Times New Roman" w:hAnsi="Times New Roman" w:cs="Times New Roman"/>
          <w:sz w:val="24"/>
          <w:lang w:val="es-ES"/>
        </w:rPr>
        <w:t>na</w:t>
      </w:r>
      <w:r w:rsidR="00B56048">
        <w:rPr>
          <w:rFonts w:ascii="Times New Roman" w:hAnsi="Times New Roman" w:cs="Times New Roman"/>
          <w:sz w:val="24"/>
          <w:lang w:val="es-ES"/>
        </w:rPr>
        <w:t xml:space="preserve"> </w:t>
      </w:r>
      <w:r w:rsidR="00DF2EA3">
        <w:rPr>
          <w:rFonts w:ascii="Times New Roman" w:hAnsi="Times New Roman" w:cs="Times New Roman"/>
          <w:sz w:val="24"/>
          <w:lang w:val="es-ES"/>
        </w:rPr>
        <w:t xml:space="preserve">isplaćene </w:t>
      </w:r>
      <w:r w:rsidR="00AC4821" w:rsidRPr="002F73C2">
        <w:rPr>
          <w:rFonts w:ascii="Times New Roman" w:hAnsi="Times New Roman" w:cs="Times New Roman"/>
          <w:sz w:val="24"/>
          <w:lang w:val="es-ES"/>
        </w:rPr>
        <w:t>naknad</w:t>
      </w:r>
      <w:r w:rsidR="00B56048">
        <w:rPr>
          <w:rFonts w:ascii="Times New Roman" w:hAnsi="Times New Roman" w:cs="Times New Roman"/>
          <w:sz w:val="24"/>
          <w:lang w:val="es-ES"/>
        </w:rPr>
        <w:t>e</w:t>
      </w:r>
      <w:r w:rsidR="00AC4821" w:rsidRPr="002F73C2">
        <w:rPr>
          <w:rFonts w:ascii="Times New Roman" w:hAnsi="Times New Roman" w:cs="Times New Roman"/>
          <w:sz w:val="24"/>
          <w:lang w:val="es-ES"/>
        </w:rPr>
        <w:t xml:space="preserve"> za prijenos </w:t>
      </w:r>
      <w:r w:rsidR="008B05AC" w:rsidRPr="002F73C2">
        <w:rPr>
          <w:rFonts w:ascii="Times New Roman" w:hAnsi="Times New Roman" w:cs="Times New Roman"/>
          <w:sz w:val="24"/>
          <w:lang w:val="es-ES"/>
        </w:rPr>
        <w:t>građevinskog zemljišta</w:t>
      </w:r>
      <w:r w:rsidR="007870D5" w:rsidRPr="002F73C2">
        <w:rPr>
          <w:rFonts w:ascii="Times New Roman" w:hAnsi="Times New Roman" w:cs="Times New Roman"/>
          <w:sz w:val="24"/>
          <w:lang w:val="es-ES"/>
        </w:rPr>
        <w:t xml:space="preserve"> te </w:t>
      </w:r>
      <w:r w:rsidR="00CF39F2">
        <w:rPr>
          <w:rFonts w:ascii="Times New Roman" w:hAnsi="Times New Roman" w:cs="Times New Roman"/>
          <w:sz w:val="24"/>
          <w:lang w:val="es-ES"/>
        </w:rPr>
        <w:t>realiziran</w:t>
      </w:r>
      <w:r w:rsidR="00D66ADE">
        <w:rPr>
          <w:rFonts w:ascii="Times New Roman" w:hAnsi="Times New Roman" w:cs="Times New Roman"/>
          <w:sz w:val="24"/>
          <w:lang w:val="es-ES"/>
        </w:rPr>
        <w:t>u</w:t>
      </w:r>
      <w:r w:rsidR="00CF39F2">
        <w:rPr>
          <w:rFonts w:ascii="Times New Roman" w:hAnsi="Times New Roman" w:cs="Times New Roman"/>
          <w:sz w:val="24"/>
          <w:lang w:val="es-ES"/>
        </w:rPr>
        <w:t xml:space="preserve"> kup</w:t>
      </w:r>
      <w:r w:rsidR="00D66ADE">
        <w:rPr>
          <w:rFonts w:ascii="Times New Roman" w:hAnsi="Times New Roman" w:cs="Times New Roman"/>
          <w:sz w:val="24"/>
          <w:lang w:val="es-ES"/>
        </w:rPr>
        <w:t>nju zemljišta.</w:t>
      </w:r>
    </w:p>
    <w:p w14:paraId="68967041" w14:textId="19789396" w:rsidR="00CA1EF5" w:rsidRDefault="003301C0" w:rsidP="00D15F58">
      <w:pPr>
        <w:jc w:val="both"/>
        <w:rPr>
          <w:rFonts w:ascii="Times New Roman" w:hAnsi="Times New Roman" w:cs="Times New Roman"/>
          <w:sz w:val="24"/>
          <w:lang w:val="es-ES"/>
        </w:rPr>
      </w:pPr>
      <w:r w:rsidRPr="00B56048">
        <w:rPr>
          <w:rFonts w:ascii="Times New Roman" w:hAnsi="Times New Roman" w:cs="Times New Roman"/>
          <w:sz w:val="24"/>
          <w:lang w:val="es-ES"/>
        </w:rPr>
        <w:lastRenderedPageBreak/>
        <w:t xml:space="preserve">Rashodi za nabavu proizvedene dugotrajne imovine su realizirani u iznosu od </w:t>
      </w:r>
      <w:r w:rsidR="00CF39F2">
        <w:rPr>
          <w:rFonts w:ascii="Times New Roman" w:hAnsi="Times New Roman" w:cs="Times New Roman"/>
          <w:sz w:val="24"/>
          <w:lang w:val="es-ES"/>
        </w:rPr>
        <w:t>7.086.234,96</w:t>
      </w:r>
      <w:r w:rsidR="008047DD">
        <w:rPr>
          <w:rFonts w:ascii="Times New Roman" w:hAnsi="Times New Roman" w:cs="Times New Roman"/>
          <w:sz w:val="24"/>
          <w:lang w:val="es-ES"/>
        </w:rPr>
        <w:t xml:space="preserve"> eura</w:t>
      </w:r>
      <w:r w:rsidR="00D43A6A" w:rsidRPr="00B56048">
        <w:rPr>
          <w:rFonts w:ascii="Times New Roman" w:hAnsi="Times New Roman" w:cs="Times New Roman"/>
          <w:sz w:val="24"/>
          <w:lang w:val="es-ES"/>
        </w:rPr>
        <w:t xml:space="preserve"> </w:t>
      </w:r>
      <w:r w:rsidR="00CA1EF5">
        <w:rPr>
          <w:rFonts w:ascii="Times New Roman" w:hAnsi="Times New Roman" w:cs="Times New Roman"/>
          <w:sz w:val="24"/>
          <w:lang w:val="es-ES"/>
        </w:rPr>
        <w:t>i</w:t>
      </w:r>
      <w:r w:rsidRPr="00B56048">
        <w:rPr>
          <w:rFonts w:ascii="Times New Roman" w:hAnsi="Times New Roman" w:cs="Times New Roman"/>
          <w:sz w:val="24"/>
          <w:lang w:val="es-ES"/>
        </w:rPr>
        <w:t xml:space="preserve"> </w:t>
      </w:r>
      <w:r w:rsidR="00FB5D54">
        <w:rPr>
          <w:rFonts w:ascii="Times New Roman" w:hAnsi="Times New Roman" w:cs="Times New Roman"/>
          <w:sz w:val="24"/>
          <w:lang w:val="es-ES"/>
        </w:rPr>
        <w:t xml:space="preserve">najvećim se dijelom odnose na izgradnju </w:t>
      </w:r>
      <w:r w:rsidR="00194E06">
        <w:rPr>
          <w:rFonts w:ascii="Times New Roman" w:hAnsi="Times New Roman" w:cs="Times New Roman"/>
          <w:sz w:val="24"/>
          <w:lang w:val="es-ES"/>
        </w:rPr>
        <w:t xml:space="preserve">i opremanje </w:t>
      </w:r>
      <w:r w:rsidR="00FB5D54">
        <w:rPr>
          <w:rFonts w:ascii="Times New Roman" w:hAnsi="Times New Roman" w:cs="Times New Roman"/>
          <w:sz w:val="24"/>
          <w:lang w:val="es-ES"/>
        </w:rPr>
        <w:t xml:space="preserve">dječjih vrtića u </w:t>
      </w:r>
      <w:r w:rsidR="00C40125">
        <w:rPr>
          <w:rFonts w:ascii="Times New Roman" w:hAnsi="Times New Roman" w:cs="Times New Roman"/>
          <w:sz w:val="24"/>
          <w:lang w:val="es-ES"/>
        </w:rPr>
        <w:t>V</w:t>
      </w:r>
      <w:r w:rsidR="00FB5D54">
        <w:rPr>
          <w:rFonts w:ascii="Times New Roman" w:hAnsi="Times New Roman" w:cs="Times New Roman"/>
          <w:sz w:val="24"/>
          <w:lang w:val="es-ES"/>
        </w:rPr>
        <w:t xml:space="preserve">arvarima i Novoj Vasi. Obuhvaćaju i rashode vezane uz </w:t>
      </w:r>
      <w:r w:rsidR="003F6283" w:rsidRPr="00B56048">
        <w:rPr>
          <w:rFonts w:ascii="Times New Roman" w:hAnsi="Times New Roman" w:cs="Times New Roman"/>
          <w:sz w:val="24"/>
          <w:lang w:val="es-ES"/>
        </w:rPr>
        <w:t xml:space="preserve"> </w:t>
      </w:r>
      <w:r w:rsidR="00AC4821" w:rsidRPr="00B56048">
        <w:rPr>
          <w:rFonts w:ascii="Times New Roman" w:hAnsi="Times New Roman" w:cs="Times New Roman"/>
          <w:sz w:val="24"/>
          <w:lang w:val="es-ES"/>
        </w:rPr>
        <w:t>asfa</w:t>
      </w:r>
      <w:r w:rsidR="000967A2" w:rsidRPr="00B56048">
        <w:rPr>
          <w:rFonts w:ascii="Times New Roman" w:hAnsi="Times New Roman" w:cs="Times New Roman"/>
          <w:sz w:val="24"/>
          <w:lang w:val="es-ES"/>
        </w:rPr>
        <w:t>l</w:t>
      </w:r>
      <w:r w:rsidR="003D516D" w:rsidRPr="00B56048">
        <w:rPr>
          <w:rFonts w:ascii="Times New Roman" w:hAnsi="Times New Roman" w:cs="Times New Roman"/>
          <w:sz w:val="24"/>
          <w:lang w:val="es-ES"/>
        </w:rPr>
        <w:t>terske radove</w:t>
      </w:r>
      <w:r w:rsidR="00AC4821" w:rsidRPr="00B56048">
        <w:rPr>
          <w:rFonts w:ascii="Times New Roman" w:hAnsi="Times New Roman" w:cs="Times New Roman"/>
          <w:sz w:val="24"/>
          <w:lang w:val="es-ES"/>
        </w:rPr>
        <w:t xml:space="preserve"> odnosno izgradnju </w:t>
      </w:r>
      <w:r w:rsidR="00C60F67" w:rsidRPr="00B56048">
        <w:rPr>
          <w:rFonts w:ascii="Times New Roman" w:hAnsi="Times New Roman" w:cs="Times New Roman"/>
          <w:sz w:val="24"/>
          <w:lang w:val="es-ES"/>
        </w:rPr>
        <w:t>prometne infrastrukture,</w:t>
      </w:r>
      <w:r w:rsidR="003F6283" w:rsidRPr="00B56048">
        <w:rPr>
          <w:rFonts w:ascii="Times New Roman" w:hAnsi="Times New Roman" w:cs="Times New Roman"/>
          <w:sz w:val="24"/>
          <w:lang w:val="es-ES"/>
        </w:rPr>
        <w:t xml:space="preserve"> uređenje gradskih plaža,</w:t>
      </w:r>
      <w:r w:rsidR="00C60F67" w:rsidRPr="00B56048">
        <w:rPr>
          <w:rFonts w:ascii="Times New Roman" w:hAnsi="Times New Roman" w:cs="Times New Roman"/>
          <w:sz w:val="24"/>
          <w:lang w:val="es-ES"/>
        </w:rPr>
        <w:t xml:space="preserve"> </w:t>
      </w:r>
      <w:r w:rsidR="00B56048" w:rsidRPr="00B56048">
        <w:rPr>
          <w:rFonts w:ascii="Times New Roman" w:hAnsi="Times New Roman" w:cs="Times New Roman"/>
          <w:sz w:val="24"/>
          <w:lang w:val="es-ES"/>
        </w:rPr>
        <w:t>izgradnju oborinske</w:t>
      </w:r>
      <w:r w:rsidR="003F6283" w:rsidRPr="00B56048">
        <w:rPr>
          <w:rFonts w:ascii="Times New Roman" w:hAnsi="Times New Roman" w:cs="Times New Roman"/>
          <w:sz w:val="24"/>
          <w:lang w:val="es-ES"/>
        </w:rPr>
        <w:t xml:space="preserve"> kanalizacij</w:t>
      </w:r>
      <w:r w:rsidR="00B56048" w:rsidRPr="00B56048">
        <w:rPr>
          <w:rFonts w:ascii="Times New Roman" w:hAnsi="Times New Roman" w:cs="Times New Roman"/>
          <w:sz w:val="24"/>
          <w:lang w:val="es-ES"/>
        </w:rPr>
        <w:t>e</w:t>
      </w:r>
      <w:r w:rsidR="003F6283" w:rsidRPr="00B56048">
        <w:rPr>
          <w:rFonts w:ascii="Times New Roman" w:hAnsi="Times New Roman" w:cs="Times New Roman"/>
          <w:sz w:val="24"/>
          <w:lang w:val="es-ES"/>
        </w:rPr>
        <w:t xml:space="preserve"> na više lokacija, </w:t>
      </w:r>
      <w:r w:rsidR="00FB5D54">
        <w:rPr>
          <w:rFonts w:ascii="Times New Roman" w:hAnsi="Times New Roman" w:cs="Times New Roman"/>
          <w:sz w:val="24"/>
          <w:lang w:val="es-ES"/>
        </w:rPr>
        <w:t xml:space="preserve">te </w:t>
      </w:r>
      <w:r w:rsidRPr="00B56048">
        <w:rPr>
          <w:rFonts w:ascii="Times New Roman" w:hAnsi="Times New Roman" w:cs="Times New Roman"/>
          <w:sz w:val="24"/>
          <w:lang w:val="es-ES"/>
        </w:rPr>
        <w:t>na rashode za nabavu uredske, komunikacijske i ostale opreme</w:t>
      </w:r>
      <w:r w:rsidR="00647F7A" w:rsidRPr="00B56048">
        <w:rPr>
          <w:rFonts w:ascii="Times New Roman" w:hAnsi="Times New Roman" w:cs="Times New Roman"/>
          <w:sz w:val="24"/>
          <w:lang w:val="es-ES"/>
        </w:rPr>
        <w:t xml:space="preserve"> u upravnim tijelim grada i </w:t>
      </w:r>
      <w:r w:rsidR="00CA1EF5">
        <w:rPr>
          <w:rFonts w:ascii="Times New Roman" w:hAnsi="Times New Roman" w:cs="Times New Roman"/>
          <w:sz w:val="24"/>
          <w:lang w:val="es-ES"/>
        </w:rPr>
        <w:t xml:space="preserve">kod </w:t>
      </w:r>
      <w:r w:rsidR="00647F7A" w:rsidRPr="00B56048">
        <w:rPr>
          <w:rFonts w:ascii="Times New Roman" w:hAnsi="Times New Roman" w:cs="Times New Roman"/>
          <w:sz w:val="24"/>
          <w:lang w:val="es-ES"/>
        </w:rPr>
        <w:t>proračunskih korisnika</w:t>
      </w:r>
      <w:r w:rsidR="00FB5D54">
        <w:rPr>
          <w:rFonts w:ascii="Times New Roman" w:hAnsi="Times New Roman" w:cs="Times New Roman"/>
          <w:sz w:val="24"/>
          <w:lang w:val="es-ES"/>
        </w:rPr>
        <w:t>.</w:t>
      </w:r>
    </w:p>
    <w:p w14:paraId="0F9282A5" w14:textId="4EC52310" w:rsidR="00AD5916" w:rsidRPr="009F2546" w:rsidRDefault="00AD5916" w:rsidP="00A613A3">
      <w:pPr>
        <w:jc w:val="both"/>
        <w:rPr>
          <w:rFonts w:ascii="Times New Roman" w:hAnsi="Times New Roman" w:cs="Times New Roman"/>
          <w:sz w:val="24"/>
          <w:lang w:val="es-ES"/>
        </w:rPr>
      </w:pPr>
      <w:r w:rsidRPr="002F73C2">
        <w:rPr>
          <w:rFonts w:ascii="Times New Roman" w:hAnsi="Times New Roman" w:cs="Times New Roman"/>
          <w:sz w:val="24"/>
          <w:lang w:val="es-ES"/>
        </w:rPr>
        <w:t xml:space="preserve">Rashodi za dodatna ulaganja na nefinancijskoj imovini realizirani su u iznosu od </w:t>
      </w:r>
      <w:r w:rsidR="00194E06">
        <w:rPr>
          <w:rFonts w:ascii="Times New Roman" w:hAnsi="Times New Roman" w:cs="Times New Roman"/>
          <w:sz w:val="24"/>
          <w:lang w:val="es-ES"/>
        </w:rPr>
        <w:t>319.362,28</w:t>
      </w:r>
      <w:r w:rsidR="008047DD">
        <w:rPr>
          <w:rFonts w:ascii="Times New Roman" w:hAnsi="Times New Roman" w:cs="Times New Roman"/>
          <w:sz w:val="24"/>
          <w:lang w:val="es-ES"/>
        </w:rPr>
        <w:t xml:space="preserve"> eura</w:t>
      </w:r>
      <w:r w:rsidRPr="002F73C2">
        <w:rPr>
          <w:rFonts w:ascii="Times New Roman" w:hAnsi="Times New Roman" w:cs="Times New Roman"/>
          <w:sz w:val="24"/>
          <w:lang w:val="es-ES"/>
        </w:rPr>
        <w:t xml:space="preserve"> i najvećim dijelom </w:t>
      </w:r>
      <w:r w:rsidR="00B27484" w:rsidRPr="002F73C2">
        <w:rPr>
          <w:rFonts w:ascii="Times New Roman" w:hAnsi="Times New Roman" w:cs="Times New Roman"/>
          <w:sz w:val="24"/>
          <w:lang w:val="es-ES"/>
        </w:rPr>
        <w:t>odnose se</w:t>
      </w:r>
      <w:r w:rsidR="00FB5D54">
        <w:rPr>
          <w:rFonts w:ascii="Times New Roman" w:hAnsi="Times New Roman" w:cs="Times New Roman"/>
          <w:sz w:val="24"/>
          <w:lang w:val="es-ES"/>
        </w:rPr>
        <w:t xml:space="preserve"> na </w:t>
      </w:r>
      <w:r w:rsidR="001A4B03">
        <w:rPr>
          <w:rFonts w:ascii="Times New Roman" w:hAnsi="Times New Roman" w:cs="Times New Roman"/>
          <w:sz w:val="24"/>
          <w:lang w:val="es-ES"/>
        </w:rPr>
        <w:t>adaptaciju i opremanje SRC Veli Jože i dodatna ulaganja u objekte predškolske ustanove Radost i Osnovne škole Poreč</w:t>
      </w:r>
      <w:r w:rsidR="000E174E">
        <w:rPr>
          <w:rFonts w:ascii="Times New Roman" w:hAnsi="Times New Roman" w:cs="Times New Roman"/>
          <w:sz w:val="24"/>
          <w:lang w:val="es-ES"/>
        </w:rPr>
        <w:t>.</w:t>
      </w:r>
    </w:p>
    <w:p w14:paraId="66F6F046" w14:textId="7357438C" w:rsidR="0058298E" w:rsidRPr="009F2546" w:rsidRDefault="00D15F58" w:rsidP="009F254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0E1D">
        <w:rPr>
          <w:rFonts w:ascii="Times New Roman" w:hAnsi="Times New Roman" w:cs="Times New Roman"/>
          <w:b/>
          <w:sz w:val="28"/>
          <w:szCs w:val="28"/>
        </w:rPr>
        <w:t>RAČUN ZADUŽIVANJA/FINANCIRANJA</w:t>
      </w:r>
    </w:p>
    <w:p w14:paraId="5E02F983" w14:textId="34F4D3C2" w:rsidR="00C40125" w:rsidRPr="0062395F" w:rsidRDefault="00D15F58" w:rsidP="0062395F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530E1D">
        <w:rPr>
          <w:rFonts w:ascii="Times New Roman" w:hAnsi="Times New Roman" w:cs="Times New Roman"/>
          <w:sz w:val="24"/>
          <w:szCs w:val="24"/>
        </w:rPr>
        <w:t>Primici od financijske imovine i zaduživanja</w:t>
      </w:r>
      <w:r w:rsidR="00C714B2" w:rsidRPr="00530E1D">
        <w:rPr>
          <w:rFonts w:ascii="Times New Roman" w:hAnsi="Times New Roman" w:cs="Times New Roman"/>
          <w:sz w:val="24"/>
          <w:szCs w:val="24"/>
        </w:rPr>
        <w:t xml:space="preserve"> u </w:t>
      </w:r>
      <w:r w:rsidR="00A572A2" w:rsidRPr="00530E1D">
        <w:rPr>
          <w:rFonts w:ascii="Times New Roman" w:hAnsi="Times New Roman" w:cs="Times New Roman"/>
          <w:sz w:val="24"/>
          <w:szCs w:val="24"/>
        </w:rPr>
        <w:t>promatranom izvještajnom periodu</w:t>
      </w:r>
      <w:r w:rsidR="00815A8F" w:rsidRPr="00530E1D">
        <w:rPr>
          <w:rFonts w:ascii="Times New Roman" w:hAnsi="Times New Roman" w:cs="Times New Roman"/>
          <w:sz w:val="24"/>
          <w:szCs w:val="24"/>
        </w:rPr>
        <w:t xml:space="preserve"> </w:t>
      </w:r>
      <w:r w:rsidR="00514330">
        <w:rPr>
          <w:rFonts w:ascii="Times New Roman" w:hAnsi="Times New Roman" w:cs="Times New Roman"/>
          <w:sz w:val="24"/>
          <w:szCs w:val="24"/>
        </w:rPr>
        <w:t>realizirani</w:t>
      </w:r>
      <w:r w:rsidR="00FB5D54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6B3361">
        <w:rPr>
          <w:rFonts w:ascii="Times New Roman" w:hAnsi="Times New Roman" w:cs="Times New Roman"/>
          <w:sz w:val="24"/>
          <w:szCs w:val="24"/>
        </w:rPr>
        <w:t xml:space="preserve">6.940.935,91 </w:t>
      </w:r>
      <w:proofErr w:type="spellStart"/>
      <w:r w:rsidR="006B336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B5D54">
        <w:rPr>
          <w:rFonts w:ascii="Times New Roman" w:hAnsi="Times New Roman" w:cs="Times New Roman"/>
          <w:sz w:val="24"/>
          <w:szCs w:val="24"/>
        </w:rPr>
        <w:t xml:space="preserve"> </w:t>
      </w:r>
      <w:r w:rsidR="006B3361">
        <w:rPr>
          <w:rFonts w:ascii="Times New Roman" w:hAnsi="Times New Roman" w:cs="Times New Roman"/>
          <w:sz w:val="24"/>
          <w:szCs w:val="24"/>
        </w:rPr>
        <w:t>čime je u cijelosti realiziran kredit ugovoren s Privrednom bankom Zagreb d.d., namijenjen izgradnji i opremanju dječjih vrtića u Varvarima i Novoj Vasi.</w:t>
      </w:r>
      <w:r w:rsidR="00FB5D54">
        <w:rPr>
          <w:rFonts w:ascii="Times New Roman" w:hAnsi="Times New Roman" w:cs="Times New Roman"/>
          <w:sz w:val="24"/>
          <w:szCs w:val="24"/>
        </w:rPr>
        <w:t xml:space="preserve"> I</w:t>
      </w:r>
      <w:r w:rsidR="007A0FCD" w:rsidRPr="00053A48">
        <w:rPr>
          <w:rFonts w:ascii="Times New Roman" w:hAnsi="Times New Roman" w:cs="Times New Roman"/>
          <w:sz w:val="24"/>
          <w:szCs w:val="24"/>
        </w:rPr>
        <w:t xml:space="preserve">zdaci za </w:t>
      </w:r>
      <w:r w:rsidR="00653752" w:rsidRPr="00053A48">
        <w:rPr>
          <w:rFonts w:ascii="Times New Roman" w:hAnsi="Times New Roman" w:cs="Times New Roman"/>
          <w:sz w:val="24"/>
          <w:szCs w:val="24"/>
        </w:rPr>
        <w:t xml:space="preserve">financijsku imovinu i otplate zajmova </w:t>
      </w:r>
      <w:r w:rsidR="002E67D1" w:rsidRPr="00053A48">
        <w:rPr>
          <w:rFonts w:ascii="Times New Roman" w:hAnsi="Times New Roman" w:cs="Times New Roman"/>
          <w:sz w:val="24"/>
          <w:szCs w:val="24"/>
        </w:rPr>
        <w:t>realizira</w:t>
      </w:r>
      <w:r w:rsidR="00C714B2" w:rsidRPr="00053A48">
        <w:rPr>
          <w:rFonts w:ascii="Times New Roman" w:hAnsi="Times New Roman" w:cs="Times New Roman"/>
          <w:sz w:val="24"/>
          <w:szCs w:val="24"/>
        </w:rPr>
        <w:t xml:space="preserve">ni u iznosu od </w:t>
      </w:r>
      <w:r w:rsidR="00FB5D54">
        <w:rPr>
          <w:rFonts w:ascii="Times New Roman" w:hAnsi="Times New Roman" w:cs="Times New Roman"/>
          <w:sz w:val="24"/>
          <w:szCs w:val="24"/>
        </w:rPr>
        <w:t>5</w:t>
      </w:r>
      <w:r w:rsidR="006B3361">
        <w:rPr>
          <w:rFonts w:ascii="Times New Roman" w:hAnsi="Times New Roman" w:cs="Times New Roman"/>
          <w:sz w:val="24"/>
          <w:szCs w:val="24"/>
        </w:rPr>
        <w:t>58.655,22</w:t>
      </w:r>
      <w:r w:rsidR="00C52398">
        <w:rPr>
          <w:rFonts w:ascii="Times New Roman" w:hAnsi="Times New Roman" w:cs="Times New Roman"/>
          <w:sz w:val="24"/>
          <w:szCs w:val="24"/>
        </w:rPr>
        <w:t xml:space="preserve"> eura</w:t>
      </w:r>
      <w:r w:rsidR="00A572A2" w:rsidRPr="00053A48">
        <w:rPr>
          <w:rFonts w:ascii="Times New Roman" w:hAnsi="Times New Roman" w:cs="Times New Roman"/>
          <w:sz w:val="24"/>
          <w:szCs w:val="24"/>
        </w:rPr>
        <w:t xml:space="preserve"> </w:t>
      </w:r>
      <w:r w:rsidR="00C714B2" w:rsidRPr="00053A48">
        <w:rPr>
          <w:rFonts w:ascii="Times New Roman" w:hAnsi="Times New Roman" w:cs="Times New Roman"/>
          <w:sz w:val="24"/>
          <w:szCs w:val="24"/>
        </w:rPr>
        <w:t>kuna</w:t>
      </w:r>
      <w:r w:rsidR="00514330">
        <w:rPr>
          <w:rFonts w:ascii="Times New Roman" w:hAnsi="Times New Roman" w:cs="Times New Roman"/>
          <w:sz w:val="24"/>
          <w:szCs w:val="24"/>
        </w:rPr>
        <w:t xml:space="preserve"> kroz</w:t>
      </w:r>
      <w:r w:rsidR="00E650A9" w:rsidRPr="00940A35">
        <w:rPr>
          <w:rFonts w:ascii="Times New Roman" w:hAnsi="Times New Roman" w:cs="Times New Roman"/>
          <w:sz w:val="24"/>
          <w:szCs w:val="24"/>
        </w:rPr>
        <w:t xml:space="preserve"> otplat</w:t>
      </w:r>
      <w:r w:rsidR="00514330">
        <w:rPr>
          <w:rFonts w:ascii="Times New Roman" w:hAnsi="Times New Roman" w:cs="Times New Roman"/>
          <w:sz w:val="24"/>
          <w:szCs w:val="24"/>
        </w:rPr>
        <w:t>u</w:t>
      </w:r>
      <w:r w:rsidR="00E650A9" w:rsidRPr="00940A35">
        <w:rPr>
          <w:rFonts w:ascii="Times New Roman" w:hAnsi="Times New Roman" w:cs="Times New Roman"/>
          <w:sz w:val="24"/>
          <w:szCs w:val="24"/>
        </w:rPr>
        <w:t xml:space="preserve"> glavnice primljenih kredita od tuzemnih kreditnih institucija za izgradnju škola </w:t>
      </w:r>
      <w:proofErr w:type="spellStart"/>
      <w:r w:rsidR="00E650A9" w:rsidRPr="00940A35">
        <w:rPr>
          <w:rFonts w:ascii="Times New Roman" w:hAnsi="Times New Roman" w:cs="Times New Roman"/>
          <w:sz w:val="24"/>
          <w:szCs w:val="24"/>
        </w:rPr>
        <w:t>Finida</w:t>
      </w:r>
      <w:proofErr w:type="spellEnd"/>
      <w:r w:rsidR="00E650A9" w:rsidRPr="00940A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650A9" w:rsidRPr="00940A35">
        <w:rPr>
          <w:rFonts w:ascii="Times New Roman" w:hAnsi="Times New Roman" w:cs="Times New Roman"/>
          <w:sz w:val="24"/>
          <w:szCs w:val="24"/>
        </w:rPr>
        <w:t>Žbandaj</w:t>
      </w:r>
      <w:proofErr w:type="spellEnd"/>
      <w:r w:rsidR="00514330">
        <w:rPr>
          <w:rFonts w:ascii="Times New Roman" w:hAnsi="Times New Roman" w:cs="Times New Roman"/>
          <w:sz w:val="24"/>
          <w:szCs w:val="24"/>
        </w:rPr>
        <w:t>, za rekonstrukciju gradske r</w:t>
      </w:r>
      <w:r w:rsidR="00507E07">
        <w:rPr>
          <w:rFonts w:ascii="Times New Roman" w:hAnsi="Times New Roman" w:cs="Times New Roman"/>
          <w:sz w:val="24"/>
          <w:szCs w:val="24"/>
        </w:rPr>
        <w:t>i</w:t>
      </w:r>
      <w:r w:rsidR="00514330">
        <w:rPr>
          <w:rFonts w:ascii="Times New Roman" w:hAnsi="Times New Roman" w:cs="Times New Roman"/>
          <w:sz w:val="24"/>
          <w:szCs w:val="24"/>
        </w:rPr>
        <w:t>ve, za modernizaciju javne rasvjete</w:t>
      </w:r>
      <w:r w:rsidR="00FB5D5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B336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B3361">
        <w:rPr>
          <w:rFonts w:ascii="Times New Roman" w:hAnsi="Times New Roman" w:cs="Times New Roman"/>
          <w:sz w:val="24"/>
          <w:szCs w:val="24"/>
        </w:rPr>
        <w:t xml:space="preserve"> II </w:t>
      </w:r>
      <w:r w:rsidR="00FB5D54">
        <w:rPr>
          <w:rFonts w:ascii="Times New Roman" w:hAnsi="Times New Roman" w:cs="Times New Roman"/>
          <w:sz w:val="24"/>
          <w:szCs w:val="24"/>
        </w:rPr>
        <w:t>faza</w:t>
      </w:r>
      <w:r w:rsidR="00514330">
        <w:rPr>
          <w:rFonts w:ascii="Times New Roman" w:hAnsi="Times New Roman" w:cs="Times New Roman"/>
          <w:sz w:val="24"/>
          <w:szCs w:val="24"/>
        </w:rPr>
        <w:t xml:space="preserve">, </w:t>
      </w:r>
      <w:r w:rsidR="00E650A9" w:rsidRPr="00B069FB">
        <w:rPr>
          <w:rFonts w:ascii="Times New Roman" w:hAnsi="Times New Roman" w:cs="Times New Roman"/>
          <w:sz w:val="24"/>
          <w:szCs w:val="24"/>
        </w:rPr>
        <w:t xml:space="preserve"> </w:t>
      </w:r>
      <w:r w:rsidR="00514330">
        <w:rPr>
          <w:rFonts w:ascii="Times New Roman" w:hAnsi="Times New Roman" w:cs="Times New Roman"/>
          <w:sz w:val="24"/>
          <w:szCs w:val="24"/>
        </w:rPr>
        <w:t xml:space="preserve">te za </w:t>
      </w:r>
      <w:r w:rsidR="00C714B2" w:rsidRPr="00B069FB">
        <w:rPr>
          <w:rFonts w:ascii="Times New Roman" w:hAnsi="Times New Roman" w:cs="Times New Roman"/>
          <w:sz w:val="24"/>
          <w:szCs w:val="24"/>
        </w:rPr>
        <w:t xml:space="preserve">otplatu kredita za izgradnju Županijskog centra za gospodarenje otpadom </w:t>
      </w:r>
      <w:proofErr w:type="spellStart"/>
      <w:r w:rsidR="00C714B2" w:rsidRPr="00B069FB">
        <w:rPr>
          <w:rFonts w:ascii="Times New Roman" w:hAnsi="Times New Roman" w:cs="Times New Roman"/>
          <w:sz w:val="24"/>
          <w:szCs w:val="24"/>
        </w:rPr>
        <w:t>Kaštijun</w:t>
      </w:r>
      <w:proofErr w:type="spellEnd"/>
      <w:r w:rsidR="00C714B2" w:rsidRPr="00B069FB">
        <w:rPr>
          <w:rFonts w:ascii="Times New Roman" w:hAnsi="Times New Roman" w:cs="Times New Roman"/>
          <w:sz w:val="24"/>
          <w:szCs w:val="24"/>
        </w:rPr>
        <w:t>, temeljem sporazuma p</w:t>
      </w:r>
      <w:r w:rsidR="00507E07">
        <w:rPr>
          <w:rFonts w:ascii="Times New Roman" w:hAnsi="Times New Roman" w:cs="Times New Roman"/>
          <w:sz w:val="24"/>
          <w:szCs w:val="24"/>
        </w:rPr>
        <w:t>otpisanog s Istarskom županijom.</w:t>
      </w:r>
    </w:p>
    <w:p w14:paraId="63EA6049" w14:textId="34897CC3" w:rsidR="002E67D1" w:rsidRPr="00A32EC2" w:rsidRDefault="00A32EC2" w:rsidP="00A32E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32EC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30201">
        <w:rPr>
          <w:rFonts w:ascii="Times New Roman" w:hAnsi="Times New Roman" w:cs="Times New Roman"/>
          <w:b/>
          <w:sz w:val="28"/>
          <w:szCs w:val="28"/>
        </w:rPr>
        <w:t>RELIZACIJA PO ORGANIZACIJSKOJ KLASIFIKACIJI</w:t>
      </w:r>
    </w:p>
    <w:p w14:paraId="18DF433B" w14:textId="77777777" w:rsidR="002E67D1" w:rsidRPr="002C657E" w:rsidRDefault="002E67D1" w:rsidP="00C60F67">
      <w:pPr>
        <w:jc w:val="both"/>
        <w:rPr>
          <w:rFonts w:ascii="Times New Roman" w:hAnsi="Times New Roman" w:cs="Times New Roman"/>
          <w:sz w:val="24"/>
          <w:szCs w:val="24"/>
        </w:rPr>
      </w:pPr>
      <w:r w:rsidRPr="002C657E">
        <w:rPr>
          <w:rFonts w:ascii="Times New Roman" w:hAnsi="Times New Roman" w:cs="Times New Roman"/>
          <w:sz w:val="24"/>
          <w:szCs w:val="24"/>
        </w:rPr>
        <w:t>U Posebnom dijelu Proračuna svi planirani i izvršeni rashodi i izdaci raspoređeni su kroz razdjel</w:t>
      </w:r>
      <w:r w:rsidR="00C905D2" w:rsidRPr="002C657E">
        <w:rPr>
          <w:rFonts w:ascii="Times New Roman" w:hAnsi="Times New Roman" w:cs="Times New Roman"/>
          <w:sz w:val="24"/>
          <w:szCs w:val="24"/>
        </w:rPr>
        <w:t>e</w:t>
      </w:r>
      <w:r w:rsidRPr="002C657E">
        <w:rPr>
          <w:rFonts w:ascii="Times New Roman" w:hAnsi="Times New Roman" w:cs="Times New Roman"/>
          <w:sz w:val="24"/>
          <w:szCs w:val="24"/>
        </w:rPr>
        <w:t xml:space="preserve"> na upravne odjele Grada Poreča-</w:t>
      </w:r>
      <w:proofErr w:type="spellStart"/>
      <w:r w:rsidRPr="002C657E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2C657E">
        <w:rPr>
          <w:rFonts w:ascii="Times New Roman" w:hAnsi="Times New Roman" w:cs="Times New Roman"/>
          <w:sz w:val="24"/>
          <w:szCs w:val="24"/>
        </w:rPr>
        <w:t>.</w:t>
      </w:r>
    </w:p>
    <w:p w14:paraId="4822F53E" w14:textId="1F8848DD" w:rsidR="002E67D1" w:rsidRPr="002C657E" w:rsidRDefault="002F0FB8" w:rsidP="00C60F6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57E">
        <w:rPr>
          <w:rFonts w:ascii="Times New Roman" w:hAnsi="Times New Roman" w:cs="Times New Roman"/>
          <w:sz w:val="24"/>
          <w:szCs w:val="24"/>
        </w:rPr>
        <w:t xml:space="preserve">Sukladno čl. </w:t>
      </w:r>
      <w:r w:rsidR="00C52398">
        <w:rPr>
          <w:rFonts w:ascii="Times New Roman" w:hAnsi="Times New Roman" w:cs="Times New Roman"/>
          <w:sz w:val="24"/>
          <w:szCs w:val="24"/>
        </w:rPr>
        <w:t>14</w:t>
      </w:r>
      <w:r w:rsidRPr="002C657E">
        <w:rPr>
          <w:rFonts w:ascii="Times New Roman" w:hAnsi="Times New Roman" w:cs="Times New Roman"/>
          <w:sz w:val="24"/>
          <w:szCs w:val="24"/>
        </w:rPr>
        <w:t>.</w:t>
      </w:r>
      <w:r w:rsidR="002E67D1" w:rsidRPr="002C657E">
        <w:rPr>
          <w:rFonts w:ascii="Times New Roman" w:hAnsi="Times New Roman" w:cs="Times New Roman"/>
          <w:sz w:val="24"/>
          <w:szCs w:val="24"/>
        </w:rPr>
        <w:t xml:space="preserve"> Pravilnika o polugodišnjem i godišnjem izvještaju o izvršenju proračuna</w:t>
      </w:r>
      <w:r w:rsidRPr="002C657E">
        <w:rPr>
          <w:rFonts w:ascii="Times New Roman" w:hAnsi="Times New Roman" w:cs="Times New Roman"/>
          <w:sz w:val="24"/>
          <w:szCs w:val="24"/>
        </w:rPr>
        <w:t xml:space="preserve"> </w:t>
      </w:r>
      <w:r w:rsidR="00C52398">
        <w:rPr>
          <w:rFonts w:ascii="Times New Roman" w:hAnsi="Times New Roman" w:cs="Times New Roman"/>
          <w:sz w:val="24"/>
          <w:szCs w:val="24"/>
        </w:rPr>
        <w:t xml:space="preserve">i financijskog plana </w:t>
      </w:r>
      <w:r w:rsidRPr="002C657E">
        <w:rPr>
          <w:rFonts w:ascii="Times New Roman" w:hAnsi="Times New Roman" w:cs="Times New Roman"/>
          <w:sz w:val="24"/>
          <w:szCs w:val="24"/>
        </w:rPr>
        <w:t xml:space="preserve">(NN </w:t>
      </w:r>
      <w:r w:rsidR="00C52398">
        <w:rPr>
          <w:rFonts w:ascii="Times New Roman" w:hAnsi="Times New Roman" w:cs="Times New Roman"/>
          <w:sz w:val="24"/>
          <w:szCs w:val="24"/>
        </w:rPr>
        <w:t>85/2023</w:t>
      </w:r>
      <w:r w:rsidR="001629ED" w:rsidRPr="002C657E">
        <w:rPr>
          <w:rFonts w:ascii="Times New Roman" w:hAnsi="Times New Roman" w:cs="Times New Roman"/>
          <w:sz w:val="24"/>
          <w:szCs w:val="24"/>
        </w:rPr>
        <w:t>)</w:t>
      </w:r>
      <w:r w:rsidRPr="002C657E">
        <w:rPr>
          <w:rFonts w:ascii="Times New Roman" w:hAnsi="Times New Roman" w:cs="Times New Roman"/>
          <w:sz w:val="24"/>
          <w:szCs w:val="24"/>
        </w:rPr>
        <w:t>, u Posebnom dijelu Proračuna izvještaj sadr</w:t>
      </w:r>
      <w:r w:rsidR="00C52398">
        <w:rPr>
          <w:rFonts w:ascii="Times New Roman" w:hAnsi="Times New Roman" w:cs="Times New Roman"/>
          <w:sz w:val="24"/>
          <w:szCs w:val="24"/>
        </w:rPr>
        <w:t>ži izvršenje po organizacijskoj i</w:t>
      </w:r>
      <w:r w:rsidRPr="002C657E">
        <w:rPr>
          <w:rFonts w:ascii="Times New Roman" w:hAnsi="Times New Roman" w:cs="Times New Roman"/>
          <w:sz w:val="24"/>
          <w:szCs w:val="24"/>
        </w:rPr>
        <w:t xml:space="preserve"> </w:t>
      </w:r>
      <w:r w:rsidR="00C13E5E" w:rsidRPr="002C657E">
        <w:rPr>
          <w:rFonts w:ascii="Times New Roman" w:hAnsi="Times New Roman" w:cs="Times New Roman"/>
          <w:sz w:val="24"/>
          <w:szCs w:val="24"/>
        </w:rPr>
        <w:t xml:space="preserve">programskoj </w:t>
      </w:r>
      <w:r w:rsidRPr="002C657E">
        <w:rPr>
          <w:rFonts w:ascii="Times New Roman" w:hAnsi="Times New Roman" w:cs="Times New Roman"/>
          <w:sz w:val="24"/>
          <w:szCs w:val="24"/>
        </w:rPr>
        <w:t xml:space="preserve"> klasifikaciji.</w:t>
      </w:r>
      <w:r w:rsidR="00C52398">
        <w:rPr>
          <w:rFonts w:ascii="Times New Roman" w:hAnsi="Times New Roman" w:cs="Times New Roman"/>
          <w:sz w:val="24"/>
          <w:szCs w:val="24"/>
        </w:rPr>
        <w:t xml:space="preserve"> Izvještaj po programskoj klasifikaciji sadrži prikaz rashoda i izdataka proračuna iskazanih po organizacijskoj klasifikaciji, izvorima financiranja i ekonomskoj klasifikaciji.</w:t>
      </w:r>
    </w:p>
    <w:p w14:paraId="35FC572D" w14:textId="35709AAD" w:rsidR="009C034B" w:rsidRDefault="00C13E5E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57E">
        <w:rPr>
          <w:rFonts w:ascii="Times New Roman" w:hAnsi="Times New Roman" w:cs="Times New Roman"/>
          <w:sz w:val="24"/>
          <w:szCs w:val="24"/>
        </w:rPr>
        <w:t>U slijedećoj tablici daje se usporedni prikaz izvršenja Proračuna za prvo polugodište 20</w:t>
      </w:r>
      <w:r w:rsidR="00685E14" w:rsidRPr="002C657E">
        <w:rPr>
          <w:rFonts w:ascii="Times New Roman" w:hAnsi="Times New Roman" w:cs="Times New Roman"/>
          <w:sz w:val="24"/>
          <w:szCs w:val="24"/>
        </w:rPr>
        <w:t>2</w:t>
      </w:r>
      <w:r w:rsidR="0062395F">
        <w:rPr>
          <w:rFonts w:ascii="Times New Roman" w:hAnsi="Times New Roman" w:cs="Times New Roman"/>
          <w:sz w:val="24"/>
          <w:szCs w:val="24"/>
        </w:rPr>
        <w:t>5</w:t>
      </w:r>
      <w:r w:rsidRPr="002C657E">
        <w:rPr>
          <w:rFonts w:ascii="Times New Roman" w:hAnsi="Times New Roman" w:cs="Times New Roman"/>
          <w:sz w:val="24"/>
          <w:szCs w:val="24"/>
        </w:rPr>
        <w:t xml:space="preserve">. godine </w:t>
      </w:r>
      <w:r w:rsidR="0062395F">
        <w:rPr>
          <w:rFonts w:ascii="Times New Roman" w:hAnsi="Times New Roman" w:cs="Times New Roman"/>
          <w:sz w:val="24"/>
          <w:szCs w:val="24"/>
        </w:rPr>
        <w:t xml:space="preserve">po organizacijskoj klasifikaciji </w:t>
      </w:r>
      <w:r w:rsidRPr="002C657E">
        <w:rPr>
          <w:rFonts w:ascii="Times New Roman" w:hAnsi="Times New Roman" w:cs="Times New Roman"/>
          <w:sz w:val="24"/>
          <w:szCs w:val="24"/>
        </w:rPr>
        <w:t xml:space="preserve">i tekućeg Plana te odnos između realizacije u </w:t>
      </w:r>
      <w:r w:rsidR="0016123F" w:rsidRPr="002C657E">
        <w:rPr>
          <w:rFonts w:ascii="Times New Roman" w:hAnsi="Times New Roman" w:cs="Times New Roman"/>
          <w:sz w:val="24"/>
          <w:szCs w:val="24"/>
        </w:rPr>
        <w:t xml:space="preserve">tekućoj </w:t>
      </w:r>
      <w:r w:rsidRPr="002C657E">
        <w:rPr>
          <w:rFonts w:ascii="Times New Roman" w:hAnsi="Times New Roman" w:cs="Times New Roman"/>
          <w:sz w:val="24"/>
          <w:szCs w:val="24"/>
        </w:rPr>
        <w:t xml:space="preserve"> i prethodnoj godini u istom izvještajnom razdoblju.</w:t>
      </w:r>
    </w:p>
    <w:p w14:paraId="6DDEFAFE" w14:textId="77777777" w:rsidR="009C034B" w:rsidRDefault="009C034B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E8FF0" w14:textId="25CFC905" w:rsidR="00AD0276" w:rsidRPr="00AD0276" w:rsidRDefault="00AD0276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Tablica 8. IZVJEŠTAJ PO ORGANIZACIJSKOJ KLASIFIKACIJI</w:t>
      </w:r>
    </w:p>
    <w:p w14:paraId="37061C13" w14:textId="77777777" w:rsidR="002E1413" w:rsidRPr="009F2546" w:rsidRDefault="002E1413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ipopis-Isticanje5"/>
        <w:tblW w:w="8897" w:type="dxa"/>
        <w:jc w:val="center"/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843"/>
        <w:gridCol w:w="1843"/>
        <w:gridCol w:w="992"/>
      </w:tblGrid>
      <w:tr w:rsidR="00B307AD" w:rsidRPr="00B307AD" w14:paraId="7472E62E" w14:textId="77777777" w:rsidTr="00BF6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14D8177" w14:textId="77777777" w:rsidR="00273B10" w:rsidRPr="00015063" w:rsidRDefault="00273B10" w:rsidP="00307B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UPRAVNI</w:t>
            </w:r>
          </w:p>
          <w:p w14:paraId="456C9882" w14:textId="77777777" w:rsidR="00273B10" w:rsidRPr="00015063" w:rsidRDefault="00273B10" w:rsidP="00E307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ODJELI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8915ABA" w14:textId="14867235" w:rsidR="00273B10" w:rsidRPr="00015063" w:rsidRDefault="00CD7D39" w:rsidP="00CD7D3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IZVORNI PLAN 2025.</w:t>
            </w:r>
          </w:p>
        </w:tc>
        <w:tc>
          <w:tcPr>
            <w:tcW w:w="1843" w:type="dxa"/>
          </w:tcPr>
          <w:p w14:paraId="5B527380" w14:textId="77777777" w:rsidR="00273B10" w:rsidRPr="00015063" w:rsidRDefault="00273B10" w:rsidP="00C06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OSTVARENJE</w:t>
            </w:r>
          </w:p>
          <w:p w14:paraId="0525DEDA" w14:textId="720FD2B4" w:rsidR="00273B10" w:rsidRPr="00015063" w:rsidRDefault="00273B10" w:rsidP="00531A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I-VI 20</w:t>
            </w:r>
            <w:r w:rsidR="000F48E3"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D7D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8E31382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OSTVARENJE</w:t>
            </w:r>
          </w:p>
          <w:p w14:paraId="5A70328C" w14:textId="5009C781" w:rsidR="00273B10" w:rsidRPr="00015063" w:rsidRDefault="00273B10" w:rsidP="00531AD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I-VI 20</w:t>
            </w:r>
            <w:r w:rsidR="00E0237F"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D7D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531A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1D501A46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  <w:lang w:val="de-DE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0"/>
                <w:szCs w:val="24"/>
                <w:lang w:val="de-DE"/>
              </w:rPr>
              <w:t>INDEKS</w:t>
            </w:r>
          </w:p>
          <w:p w14:paraId="250CBB1C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4/2</w:t>
            </w:r>
          </w:p>
        </w:tc>
      </w:tr>
      <w:tr w:rsidR="00B307AD" w:rsidRPr="00B307AD" w14:paraId="1E52A0E1" w14:textId="77777777" w:rsidTr="00BF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6F557B6" w14:textId="77777777" w:rsidR="00273B10" w:rsidRPr="00015063" w:rsidRDefault="00273B10" w:rsidP="00AE0566">
            <w:pPr>
              <w:jc w:val="center"/>
              <w:rPr>
                <w:rFonts w:ascii="Times New Roman" w:hAnsi="Times New Roman" w:cs="Times New Roman"/>
                <w:b w:val="0"/>
                <w:lang w:val="de-DE"/>
              </w:rPr>
            </w:pPr>
            <w:r w:rsidRPr="00015063">
              <w:rPr>
                <w:rFonts w:ascii="Times New Roman" w:hAnsi="Times New Roman" w:cs="Times New Roman"/>
                <w:b w:val="0"/>
                <w:lang w:val="de-D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D32DBA0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15063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843" w:type="dxa"/>
          </w:tcPr>
          <w:p w14:paraId="6320625D" w14:textId="77777777" w:rsidR="00273B10" w:rsidRPr="00015063" w:rsidRDefault="00273B10" w:rsidP="00C0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de-DE"/>
              </w:rPr>
            </w:pPr>
            <w:r w:rsidRPr="00015063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C6A706F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15063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4A684CAF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b w:val="0"/>
                <w:lang w:val="de-DE"/>
              </w:rPr>
            </w:pPr>
            <w:r w:rsidRPr="00015063">
              <w:rPr>
                <w:rFonts w:ascii="Times New Roman" w:hAnsi="Times New Roman" w:cs="Times New Roman"/>
                <w:b w:val="0"/>
                <w:lang w:val="de-DE"/>
              </w:rPr>
              <w:t>5</w:t>
            </w:r>
          </w:p>
        </w:tc>
      </w:tr>
      <w:tr w:rsidR="00CD7D39" w:rsidRPr="00B307AD" w14:paraId="24C4ABA2" w14:textId="77777777" w:rsidTr="005A50E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2F2A044" w14:textId="2C0F11F5" w:rsidR="00CD7D39" w:rsidRPr="005A50E3" w:rsidRDefault="00CD7D39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bookmarkStart w:id="4" w:name="_Hlk173915182"/>
            <w:r w:rsidRPr="005A50E3">
              <w:rPr>
                <w:rFonts w:ascii="Times New Roman" w:hAnsi="Times New Roman" w:cs="Times New Roman"/>
                <w:b w:val="0"/>
              </w:rPr>
              <w:t>I. U</w:t>
            </w:r>
            <w:r>
              <w:rPr>
                <w:rFonts w:ascii="Times New Roman" w:hAnsi="Times New Roman" w:cs="Times New Roman"/>
                <w:b w:val="0"/>
              </w:rPr>
              <w:t xml:space="preserve">O </w:t>
            </w:r>
            <w:r w:rsidRPr="005A50E3">
              <w:rPr>
                <w:rFonts w:ascii="Times New Roman" w:hAnsi="Times New Roman" w:cs="Times New Roman"/>
                <w:b w:val="0"/>
              </w:rPr>
              <w:t>za opću upravu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0FB4A51" w14:textId="18319F4A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5.509.430</w:t>
            </w:r>
          </w:p>
        </w:tc>
        <w:tc>
          <w:tcPr>
            <w:tcW w:w="1843" w:type="dxa"/>
          </w:tcPr>
          <w:p w14:paraId="135EB156" w14:textId="2F754622" w:rsidR="00CD7D39" w:rsidRPr="005A50E3" w:rsidRDefault="00CD7D39" w:rsidP="00CD7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A50E3">
              <w:rPr>
                <w:rFonts w:ascii="Times New Roman" w:hAnsi="Times New Roman" w:cs="Times New Roman"/>
                <w:bCs/>
              </w:rPr>
              <w:t>1.761.340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2C5F4A7" w14:textId="66B469C8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2.424.433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6F477E49" w14:textId="355E36C0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</w:t>
            </w:r>
            <w:r w:rsidR="00CD7D39" w:rsidRPr="005A50E3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CD7D39" w:rsidRPr="00B307AD" w14:paraId="12035C5D" w14:textId="77777777" w:rsidTr="005A5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7F93C19" w14:textId="1B8C0100" w:rsidR="00CD7D39" w:rsidRPr="005A50E3" w:rsidRDefault="00CD7D39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A50E3">
              <w:rPr>
                <w:rFonts w:ascii="Times New Roman" w:hAnsi="Times New Roman" w:cs="Times New Roman"/>
                <w:b w:val="0"/>
              </w:rPr>
              <w:t>II. U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 w:rsidRPr="005A50E3">
              <w:rPr>
                <w:rFonts w:ascii="Times New Roman" w:hAnsi="Times New Roman" w:cs="Times New Roman"/>
                <w:b w:val="0"/>
              </w:rPr>
              <w:t xml:space="preserve"> za financije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F83412F" w14:textId="654740F0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2.447.045</w:t>
            </w:r>
          </w:p>
        </w:tc>
        <w:tc>
          <w:tcPr>
            <w:tcW w:w="1843" w:type="dxa"/>
          </w:tcPr>
          <w:p w14:paraId="09686119" w14:textId="296CEA53" w:rsidR="00CD7D39" w:rsidRPr="005A50E3" w:rsidRDefault="00CD7D39" w:rsidP="00CD7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A50E3">
              <w:rPr>
                <w:rFonts w:ascii="Times New Roman" w:hAnsi="Times New Roman" w:cs="Times New Roman"/>
                <w:bCs/>
              </w:rPr>
              <w:t>804.160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461B854" w14:textId="3A64EC66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950.533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33E9237E" w14:textId="68B98EBE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</w:t>
            </w:r>
            <w:r w:rsidR="00CD7D39" w:rsidRPr="005A50E3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CD7D39" w:rsidRPr="00B307AD" w14:paraId="17C6DBB5" w14:textId="77777777" w:rsidTr="005A50E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5FB091E" w14:textId="68976C37" w:rsidR="00CD7D39" w:rsidRPr="005A50E3" w:rsidRDefault="00CD7D39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A50E3">
              <w:rPr>
                <w:rFonts w:ascii="Times New Roman" w:hAnsi="Times New Roman" w:cs="Times New Roman"/>
                <w:b w:val="0"/>
              </w:rPr>
              <w:t>III. U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 w:rsidRPr="005A50E3">
              <w:rPr>
                <w:rFonts w:ascii="Times New Roman" w:hAnsi="Times New Roman" w:cs="Times New Roman"/>
                <w:b w:val="0"/>
              </w:rPr>
              <w:t xml:space="preserve"> za društvene djelatnosti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A99999E" w14:textId="211A97CD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45.888.135</w:t>
            </w:r>
          </w:p>
        </w:tc>
        <w:tc>
          <w:tcPr>
            <w:tcW w:w="1843" w:type="dxa"/>
          </w:tcPr>
          <w:p w14:paraId="61A71471" w14:textId="3550D10E" w:rsidR="00CD7D39" w:rsidRPr="005A50E3" w:rsidRDefault="00CD7D39" w:rsidP="00CD7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A50E3">
              <w:rPr>
                <w:rFonts w:ascii="Times New Roman" w:hAnsi="Times New Roman" w:cs="Times New Roman"/>
                <w:bCs/>
              </w:rPr>
              <w:t>11.643.517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1C82F48" w14:textId="234852C7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19.199.477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57CABD23" w14:textId="017AD943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</w:t>
            </w:r>
            <w:r w:rsidR="00CD7D39" w:rsidRPr="005A50E3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CD7D39" w:rsidRPr="00B307AD" w14:paraId="7D8F4504" w14:textId="77777777" w:rsidTr="005A5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2E76920" w14:textId="776399E2" w:rsidR="00CD7D39" w:rsidRPr="005A50E3" w:rsidRDefault="00CD7D39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A50E3">
              <w:rPr>
                <w:rFonts w:ascii="Times New Roman" w:hAnsi="Times New Roman" w:cs="Times New Roman"/>
                <w:b w:val="0"/>
              </w:rPr>
              <w:lastRenderedPageBreak/>
              <w:t>IV. U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 w:rsidRPr="005A50E3">
              <w:rPr>
                <w:rFonts w:ascii="Times New Roman" w:hAnsi="Times New Roman" w:cs="Times New Roman"/>
                <w:b w:val="0"/>
              </w:rPr>
              <w:t xml:space="preserve"> za gospodarstvo i EU fondove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2B8B735" w14:textId="4F887A52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2.291.420</w:t>
            </w:r>
          </w:p>
        </w:tc>
        <w:tc>
          <w:tcPr>
            <w:tcW w:w="1843" w:type="dxa"/>
          </w:tcPr>
          <w:p w14:paraId="43594A24" w14:textId="1D009C22" w:rsidR="00CD7D39" w:rsidRPr="005A50E3" w:rsidRDefault="00CD7D39" w:rsidP="00CD7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A50E3">
              <w:rPr>
                <w:rFonts w:ascii="Times New Roman" w:hAnsi="Times New Roman" w:cs="Times New Roman"/>
                <w:bCs/>
              </w:rPr>
              <w:t>294.798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37E1168" w14:textId="341CB178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599.949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266EA3D1" w14:textId="2908A25D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</w:t>
            </w:r>
            <w:r w:rsidR="00CD7D39" w:rsidRPr="005A50E3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CD7D39" w:rsidRPr="00B307AD" w14:paraId="19A617A4" w14:textId="77777777" w:rsidTr="005A50E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C579E37" w14:textId="1541BEAD" w:rsidR="00CD7D39" w:rsidRPr="005A50E3" w:rsidRDefault="00CD7D39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A50E3">
              <w:rPr>
                <w:rFonts w:ascii="Times New Roman" w:hAnsi="Times New Roman" w:cs="Times New Roman"/>
                <w:b w:val="0"/>
              </w:rPr>
              <w:t>V. U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 w:rsidRPr="005A50E3">
              <w:rPr>
                <w:rFonts w:ascii="Times New Roman" w:hAnsi="Times New Roman" w:cs="Times New Roman"/>
                <w:b w:val="0"/>
              </w:rPr>
              <w:t xml:space="preserve"> za komunalni sustav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85D963F" w14:textId="793E8C7F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13.675.610</w:t>
            </w:r>
          </w:p>
        </w:tc>
        <w:tc>
          <w:tcPr>
            <w:tcW w:w="1843" w:type="dxa"/>
          </w:tcPr>
          <w:p w14:paraId="4959C8E0" w14:textId="35E99DF5" w:rsidR="00CD7D39" w:rsidRPr="005A50E3" w:rsidRDefault="00CD7D39" w:rsidP="00CD7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A50E3">
              <w:rPr>
                <w:rFonts w:ascii="Times New Roman" w:hAnsi="Times New Roman" w:cs="Times New Roman"/>
                <w:bCs/>
              </w:rPr>
              <w:t>2.968.700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47C18FD" w14:textId="2053264D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2.997.198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77D74CB1" w14:textId="08AA0346" w:rsidR="00CD7D39" w:rsidRPr="005A50E3" w:rsidRDefault="00CD7D39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A50E3">
              <w:rPr>
                <w:rFonts w:ascii="Times New Roman" w:hAnsi="Times New Roman" w:cs="Times New Roman"/>
                <w:b w:val="0"/>
              </w:rPr>
              <w:t>2</w:t>
            </w:r>
            <w:r w:rsidR="00027513">
              <w:rPr>
                <w:rFonts w:ascii="Times New Roman" w:hAnsi="Times New Roman" w:cs="Times New Roman"/>
                <w:b w:val="0"/>
              </w:rPr>
              <w:t>2</w:t>
            </w:r>
            <w:r w:rsidRPr="005A50E3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CD7D39" w:rsidRPr="00B307AD" w14:paraId="2A6C5027" w14:textId="77777777" w:rsidTr="005A5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3E5B371" w14:textId="148DB9A8" w:rsidR="00CD7D39" w:rsidRPr="005A50E3" w:rsidRDefault="00CD7D39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A50E3">
              <w:rPr>
                <w:rFonts w:ascii="Times New Roman" w:hAnsi="Times New Roman" w:cs="Times New Roman"/>
                <w:b w:val="0"/>
              </w:rPr>
              <w:t>VI. U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 w:rsidRPr="005A50E3">
              <w:rPr>
                <w:rFonts w:ascii="Times New Roman" w:hAnsi="Times New Roman" w:cs="Times New Roman"/>
                <w:b w:val="0"/>
              </w:rPr>
              <w:t xml:space="preserve"> za prostorno planiranje i zaštitu okoliša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E21A6C0" w14:textId="12C2F1D5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1.132.860</w:t>
            </w:r>
          </w:p>
        </w:tc>
        <w:tc>
          <w:tcPr>
            <w:tcW w:w="1843" w:type="dxa"/>
          </w:tcPr>
          <w:p w14:paraId="1C071681" w14:textId="480083D9" w:rsidR="00CD7D39" w:rsidRPr="005A50E3" w:rsidRDefault="00CD7D39" w:rsidP="00CD7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A50E3">
              <w:rPr>
                <w:rFonts w:ascii="Times New Roman" w:hAnsi="Times New Roman" w:cs="Times New Roman"/>
                <w:bCs/>
              </w:rPr>
              <w:t>1.011.594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6F704FD" w14:textId="067D6D7E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254.264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5D874B9B" w14:textId="23C6C3F8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22</w:t>
            </w:r>
            <w:r w:rsidR="00CD7D39" w:rsidRPr="005A50E3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CD7D39" w:rsidRPr="00B307AD" w14:paraId="137600C8" w14:textId="77777777" w:rsidTr="005A50E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84BAFA7" w14:textId="339A1F1A" w:rsidR="00CD7D39" w:rsidRPr="005A50E3" w:rsidRDefault="00CD7D39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A50E3">
              <w:rPr>
                <w:rFonts w:ascii="Times New Roman" w:hAnsi="Times New Roman" w:cs="Times New Roman"/>
                <w:b w:val="0"/>
              </w:rPr>
              <w:t>VII. U</w:t>
            </w:r>
            <w:r>
              <w:rPr>
                <w:rFonts w:ascii="Times New Roman" w:hAnsi="Times New Roman" w:cs="Times New Roman"/>
                <w:b w:val="0"/>
              </w:rPr>
              <w:t xml:space="preserve">O </w:t>
            </w:r>
            <w:r w:rsidRPr="005A50E3">
              <w:rPr>
                <w:rFonts w:ascii="Times New Roman" w:hAnsi="Times New Roman" w:cs="Times New Roman"/>
                <w:b w:val="0"/>
              </w:rPr>
              <w:t>za prostorno uređenje i gradnju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A9E5816" w14:textId="0C408D95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170.400</w:t>
            </w:r>
          </w:p>
        </w:tc>
        <w:tc>
          <w:tcPr>
            <w:tcW w:w="1843" w:type="dxa"/>
          </w:tcPr>
          <w:p w14:paraId="17A6033C" w14:textId="5C351ED8" w:rsidR="00CD7D39" w:rsidRPr="005A50E3" w:rsidRDefault="00CD7D39" w:rsidP="00CD7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A50E3">
              <w:rPr>
                <w:rFonts w:ascii="Times New Roman" w:hAnsi="Times New Roman" w:cs="Times New Roman"/>
                <w:bCs/>
              </w:rPr>
              <w:t>66.112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6D6D3F6" w14:textId="792F059C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68.653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0A8E62EE" w14:textId="21B562BE" w:rsidR="00CD7D39" w:rsidRPr="005A50E3" w:rsidRDefault="00CD7D39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A50E3">
              <w:rPr>
                <w:rFonts w:ascii="Times New Roman" w:hAnsi="Times New Roman" w:cs="Times New Roman"/>
                <w:b w:val="0"/>
              </w:rPr>
              <w:t>4</w:t>
            </w:r>
            <w:r w:rsidR="00027513">
              <w:rPr>
                <w:rFonts w:ascii="Times New Roman" w:hAnsi="Times New Roman" w:cs="Times New Roman"/>
                <w:b w:val="0"/>
              </w:rPr>
              <w:t>0</w:t>
            </w:r>
            <w:r w:rsidRPr="005A50E3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CD7D39" w:rsidRPr="00B307AD" w14:paraId="370BDC73" w14:textId="77777777" w:rsidTr="005A50E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108B49A" w14:textId="77777777" w:rsidR="00CD7D39" w:rsidRPr="005A50E3" w:rsidRDefault="00CD7D39" w:rsidP="00CD7D3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A50E3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6053769" w14:textId="03CC12EB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71.114.900</w:t>
            </w:r>
          </w:p>
        </w:tc>
        <w:tc>
          <w:tcPr>
            <w:tcW w:w="1843" w:type="dxa"/>
          </w:tcPr>
          <w:p w14:paraId="012B8B38" w14:textId="33CC9F0A" w:rsidR="00CD7D39" w:rsidRPr="005A50E3" w:rsidRDefault="00CD7D39" w:rsidP="00CD7D3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50E3">
              <w:rPr>
                <w:rFonts w:ascii="Times New Roman" w:hAnsi="Times New Roman" w:cs="Times New Roman"/>
              </w:rPr>
              <w:t>18.550.225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E888F2C" w14:textId="1697F508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027513">
              <w:rPr>
                <w:rFonts w:ascii="Times New Roman" w:hAnsi="Times New Roman" w:cs="Times New Roman"/>
              </w:rPr>
              <w:t>26.494.492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57E99527" w14:textId="2A6DFF29" w:rsidR="00CD7D39" w:rsidRPr="005A50E3" w:rsidRDefault="00027513" w:rsidP="00CD7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D7D39" w:rsidRPr="005A50E3">
              <w:rPr>
                <w:rFonts w:ascii="Times New Roman" w:hAnsi="Times New Roman" w:cs="Times New Roman"/>
              </w:rPr>
              <w:t>7%</w:t>
            </w:r>
          </w:p>
        </w:tc>
      </w:tr>
      <w:bookmarkEnd w:id="4"/>
    </w:tbl>
    <w:p w14:paraId="551D0A33" w14:textId="77777777" w:rsidR="00CA3FF5" w:rsidRDefault="00CA3FF5" w:rsidP="007B281C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CC481" w14:textId="1C69E996" w:rsidR="009F2546" w:rsidRDefault="00C65E9F" w:rsidP="007B281C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</w:t>
      </w:r>
      <w:r w:rsidR="0040187D" w:rsidRPr="00563787">
        <w:rPr>
          <w:rFonts w:ascii="Times New Roman" w:hAnsi="Times New Roman" w:cs="Times New Roman"/>
          <w:sz w:val="24"/>
          <w:szCs w:val="24"/>
        </w:rPr>
        <w:t>kupno ostvarenim rashodima i izdacima najveći udio imaju Upravni o</w:t>
      </w:r>
      <w:r w:rsidR="00563787" w:rsidRPr="00563787">
        <w:rPr>
          <w:rFonts w:ascii="Times New Roman" w:hAnsi="Times New Roman" w:cs="Times New Roman"/>
          <w:sz w:val="24"/>
          <w:szCs w:val="24"/>
        </w:rPr>
        <w:t>djel za društvene djelatnosti (</w:t>
      </w:r>
      <w:r w:rsidR="00F1642C">
        <w:rPr>
          <w:rFonts w:ascii="Times New Roman" w:hAnsi="Times New Roman" w:cs="Times New Roman"/>
          <w:sz w:val="24"/>
          <w:szCs w:val="24"/>
        </w:rPr>
        <w:t>73</w:t>
      </w:r>
      <w:r w:rsidR="0040187D" w:rsidRPr="00563787">
        <w:rPr>
          <w:rFonts w:ascii="Times New Roman" w:hAnsi="Times New Roman" w:cs="Times New Roman"/>
          <w:sz w:val="24"/>
          <w:szCs w:val="24"/>
        </w:rPr>
        <w:t>%) i Upravni odjel za komunalni sustav (</w:t>
      </w:r>
      <w:r w:rsidR="00F1642C">
        <w:rPr>
          <w:rFonts w:ascii="Times New Roman" w:hAnsi="Times New Roman" w:cs="Times New Roman"/>
          <w:sz w:val="24"/>
          <w:szCs w:val="24"/>
        </w:rPr>
        <w:t>11</w:t>
      </w:r>
      <w:r w:rsidR="0040187D" w:rsidRPr="00563787">
        <w:rPr>
          <w:rFonts w:ascii="Times New Roman" w:hAnsi="Times New Roman" w:cs="Times New Roman"/>
          <w:sz w:val="24"/>
          <w:szCs w:val="24"/>
        </w:rPr>
        <w:t>%). Potom slijede Upravni odjel za opću upravu (</w:t>
      </w:r>
      <w:r w:rsidR="00462E7E">
        <w:rPr>
          <w:rFonts w:ascii="Times New Roman" w:hAnsi="Times New Roman" w:cs="Times New Roman"/>
          <w:sz w:val="24"/>
          <w:szCs w:val="24"/>
        </w:rPr>
        <w:t>9</w:t>
      </w:r>
      <w:r w:rsidR="0040187D" w:rsidRPr="00563787">
        <w:rPr>
          <w:rFonts w:ascii="Times New Roman" w:hAnsi="Times New Roman" w:cs="Times New Roman"/>
          <w:sz w:val="24"/>
          <w:szCs w:val="24"/>
        </w:rPr>
        <w:t>%)</w:t>
      </w:r>
      <w:r w:rsidR="00462E7E">
        <w:rPr>
          <w:rFonts w:ascii="Times New Roman" w:hAnsi="Times New Roman" w:cs="Times New Roman"/>
          <w:sz w:val="24"/>
          <w:szCs w:val="24"/>
        </w:rPr>
        <w:t xml:space="preserve">, </w:t>
      </w:r>
      <w:r w:rsidR="007B281C" w:rsidRPr="00563787">
        <w:rPr>
          <w:rFonts w:ascii="Times New Roman" w:hAnsi="Times New Roman" w:cs="Times New Roman"/>
          <w:sz w:val="24"/>
          <w:szCs w:val="24"/>
        </w:rPr>
        <w:t>Upravn</w:t>
      </w:r>
      <w:r w:rsidR="0040187D" w:rsidRPr="00563787">
        <w:rPr>
          <w:rFonts w:ascii="Times New Roman" w:hAnsi="Times New Roman" w:cs="Times New Roman"/>
          <w:sz w:val="24"/>
          <w:szCs w:val="24"/>
        </w:rPr>
        <w:t>i</w:t>
      </w:r>
      <w:r w:rsidR="00E869DA" w:rsidRPr="00563787">
        <w:rPr>
          <w:rFonts w:ascii="Times New Roman" w:hAnsi="Times New Roman" w:cs="Times New Roman"/>
          <w:sz w:val="24"/>
          <w:szCs w:val="24"/>
        </w:rPr>
        <w:t xml:space="preserve"> odjel za financije </w:t>
      </w:r>
      <w:r w:rsidR="00CA3FF5">
        <w:rPr>
          <w:rFonts w:ascii="Times New Roman" w:hAnsi="Times New Roman" w:cs="Times New Roman"/>
          <w:sz w:val="24"/>
          <w:szCs w:val="24"/>
        </w:rPr>
        <w:t>(</w:t>
      </w:r>
      <w:r w:rsidR="00462E7E">
        <w:rPr>
          <w:rFonts w:ascii="Times New Roman" w:hAnsi="Times New Roman" w:cs="Times New Roman"/>
          <w:sz w:val="24"/>
          <w:szCs w:val="24"/>
        </w:rPr>
        <w:t>4</w:t>
      </w:r>
      <w:r w:rsidR="00563787" w:rsidRPr="00563787">
        <w:rPr>
          <w:rFonts w:ascii="Times New Roman" w:hAnsi="Times New Roman" w:cs="Times New Roman"/>
          <w:sz w:val="24"/>
          <w:szCs w:val="24"/>
        </w:rPr>
        <w:t>%</w:t>
      </w:r>
      <w:r w:rsidR="00CA3FF5">
        <w:rPr>
          <w:rFonts w:ascii="Times New Roman" w:hAnsi="Times New Roman" w:cs="Times New Roman"/>
          <w:sz w:val="24"/>
          <w:szCs w:val="24"/>
        </w:rPr>
        <w:t>)</w:t>
      </w:r>
      <w:r w:rsidR="00F1642C">
        <w:rPr>
          <w:rFonts w:ascii="Times New Roman" w:hAnsi="Times New Roman" w:cs="Times New Roman"/>
          <w:sz w:val="24"/>
          <w:szCs w:val="24"/>
        </w:rPr>
        <w:t>.</w:t>
      </w:r>
      <w:r w:rsidR="00CA3FF5">
        <w:rPr>
          <w:rFonts w:ascii="Times New Roman" w:hAnsi="Times New Roman" w:cs="Times New Roman"/>
          <w:sz w:val="24"/>
          <w:szCs w:val="24"/>
        </w:rPr>
        <w:t xml:space="preserve"> </w:t>
      </w:r>
      <w:r w:rsidR="00462E7E" w:rsidRPr="00563787">
        <w:rPr>
          <w:rFonts w:ascii="Times New Roman" w:hAnsi="Times New Roman" w:cs="Times New Roman"/>
          <w:sz w:val="24"/>
          <w:szCs w:val="24"/>
        </w:rPr>
        <w:t>Upravni odjel za prostorno planiranje i zaštitu okoliša</w:t>
      </w:r>
      <w:r w:rsidR="00F1642C">
        <w:rPr>
          <w:rFonts w:ascii="Times New Roman" w:hAnsi="Times New Roman" w:cs="Times New Roman"/>
          <w:sz w:val="24"/>
          <w:szCs w:val="24"/>
        </w:rPr>
        <w:t xml:space="preserve">, </w:t>
      </w:r>
      <w:r w:rsidR="00CA3FF5">
        <w:rPr>
          <w:rFonts w:ascii="Times New Roman" w:hAnsi="Times New Roman" w:cs="Times New Roman"/>
          <w:sz w:val="24"/>
          <w:szCs w:val="24"/>
        </w:rPr>
        <w:t>Upravni odjel za gospodarstvo</w:t>
      </w:r>
      <w:r w:rsidR="00462E7E">
        <w:rPr>
          <w:rFonts w:ascii="Times New Roman" w:hAnsi="Times New Roman" w:cs="Times New Roman"/>
          <w:sz w:val="24"/>
          <w:szCs w:val="24"/>
        </w:rPr>
        <w:t xml:space="preserve"> i </w:t>
      </w:r>
      <w:r w:rsidR="00F1642C">
        <w:rPr>
          <w:rFonts w:ascii="Times New Roman" w:hAnsi="Times New Roman" w:cs="Times New Roman"/>
          <w:sz w:val="24"/>
          <w:szCs w:val="24"/>
        </w:rPr>
        <w:t>EU fondove i</w:t>
      </w:r>
      <w:r w:rsidR="00E869DA" w:rsidRPr="00563787">
        <w:rPr>
          <w:rFonts w:ascii="Times New Roman" w:hAnsi="Times New Roman" w:cs="Times New Roman"/>
          <w:sz w:val="24"/>
          <w:szCs w:val="24"/>
        </w:rPr>
        <w:t xml:space="preserve"> Upravni odjel za prostorno uređenje i gradnju imaju zajednički ud</w:t>
      </w:r>
      <w:r w:rsidR="00462E7E">
        <w:rPr>
          <w:rFonts w:ascii="Times New Roman" w:hAnsi="Times New Roman" w:cs="Times New Roman"/>
          <w:sz w:val="24"/>
          <w:szCs w:val="24"/>
        </w:rPr>
        <w:t>io</w:t>
      </w:r>
      <w:r w:rsidR="00E869DA" w:rsidRPr="00563787">
        <w:rPr>
          <w:rFonts w:ascii="Times New Roman" w:hAnsi="Times New Roman" w:cs="Times New Roman"/>
          <w:sz w:val="24"/>
          <w:szCs w:val="24"/>
        </w:rPr>
        <w:t xml:space="preserve"> od </w:t>
      </w:r>
      <w:r w:rsidR="00F1642C">
        <w:rPr>
          <w:rFonts w:ascii="Times New Roman" w:hAnsi="Times New Roman" w:cs="Times New Roman"/>
          <w:sz w:val="24"/>
          <w:szCs w:val="24"/>
        </w:rPr>
        <w:t>3</w:t>
      </w:r>
      <w:r w:rsidR="00E869DA" w:rsidRPr="00563787">
        <w:rPr>
          <w:rFonts w:ascii="Times New Roman" w:hAnsi="Times New Roman" w:cs="Times New Roman"/>
          <w:sz w:val="24"/>
          <w:szCs w:val="24"/>
        </w:rPr>
        <w:t>% u ukupnim rashodima i izdacima proračuna.</w:t>
      </w:r>
    </w:p>
    <w:p w14:paraId="000BFF17" w14:textId="77777777" w:rsidR="00AD0276" w:rsidRDefault="00AD0276" w:rsidP="007B281C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E6F53" w14:textId="40A87E71" w:rsidR="0047587B" w:rsidRPr="00AD0276" w:rsidRDefault="00AD0276" w:rsidP="007B281C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Grafikon 3. ORGANIZACIJSKA KLASIFIKACIJA</w:t>
      </w:r>
    </w:p>
    <w:p w14:paraId="0C44C9E2" w14:textId="2F8E31ED" w:rsidR="00C40125" w:rsidRPr="009C034B" w:rsidRDefault="009C034B" w:rsidP="009C034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AFA3494" wp14:editId="60450398">
            <wp:extent cx="6229350" cy="3895725"/>
            <wp:effectExtent l="0" t="0" r="0" b="9525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78B1849F-EF00-4DD9-9BFC-4D3FD3F2E6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342086B" w14:textId="3BEAA20F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7F0AB" w14:textId="4FB89415" w:rsidR="000E174E" w:rsidRDefault="000E174E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2426D0" w14:textId="19840402" w:rsidR="00E40743" w:rsidRDefault="00E40743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9A78EB" w14:textId="77777777" w:rsidR="00230201" w:rsidRDefault="00230201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47D424" w14:textId="366F4C83" w:rsidR="001D28A3" w:rsidRPr="006274B8" w:rsidRDefault="001D28A3" w:rsidP="00A32EC2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8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POSEBNI IZVJEŠTAJI </w:t>
      </w:r>
    </w:p>
    <w:p w14:paraId="071DB05A" w14:textId="77777777" w:rsidR="001D28A3" w:rsidRDefault="001D28A3" w:rsidP="00A32EC2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0A60F47A" w14:textId="7EF3CEE6" w:rsidR="00A32EC2" w:rsidRPr="00C40125" w:rsidRDefault="00A32EC2" w:rsidP="00A32E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40125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D28A3" w:rsidRPr="00C4012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134F2" w:rsidRPr="00C40125">
        <w:rPr>
          <w:rFonts w:ascii="Times New Roman" w:hAnsi="Times New Roman" w:cs="Times New Roman"/>
          <w:b/>
          <w:sz w:val="24"/>
          <w:szCs w:val="24"/>
        </w:rPr>
        <w:t xml:space="preserve">IZVJEŠTAJ O DANIM JAMSTVIMA ZA RAZDOBLJE </w:t>
      </w:r>
      <w:r w:rsidR="005A0BC6" w:rsidRPr="00C40125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C40125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73ACD6E6" w14:textId="62FE5BE7" w:rsidR="00E134F2" w:rsidRPr="00C40125" w:rsidRDefault="00A32EC2" w:rsidP="00A32E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4012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134F2" w:rsidRPr="00C40125">
        <w:rPr>
          <w:rFonts w:ascii="Times New Roman" w:hAnsi="Times New Roman" w:cs="Times New Roman"/>
          <w:b/>
          <w:sz w:val="24"/>
          <w:szCs w:val="24"/>
        </w:rPr>
        <w:t>01.01. DO  30.06.20</w:t>
      </w:r>
      <w:r w:rsidR="009A4EC9" w:rsidRPr="00C40125">
        <w:rPr>
          <w:rFonts w:ascii="Times New Roman" w:hAnsi="Times New Roman" w:cs="Times New Roman"/>
          <w:b/>
          <w:sz w:val="24"/>
          <w:szCs w:val="24"/>
        </w:rPr>
        <w:t>2</w:t>
      </w:r>
      <w:r w:rsidR="006274B8">
        <w:rPr>
          <w:rFonts w:ascii="Times New Roman" w:hAnsi="Times New Roman" w:cs="Times New Roman"/>
          <w:b/>
          <w:sz w:val="24"/>
          <w:szCs w:val="24"/>
        </w:rPr>
        <w:t>5</w:t>
      </w:r>
      <w:r w:rsidR="00E134F2" w:rsidRPr="00C40125">
        <w:rPr>
          <w:rFonts w:ascii="Times New Roman" w:hAnsi="Times New Roman" w:cs="Times New Roman"/>
          <w:b/>
          <w:sz w:val="24"/>
          <w:szCs w:val="24"/>
        </w:rPr>
        <w:t>.</w:t>
      </w:r>
      <w:r w:rsidR="005A0BC6" w:rsidRPr="00C40125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14:paraId="69AA5781" w14:textId="55115BF4" w:rsidR="00A32EC2" w:rsidRPr="00A32EC2" w:rsidRDefault="000137F0" w:rsidP="00A32EC2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1FACB1" w14:textId="332AF381" w:rsidR="001D28A3" w:rsidRDefault="00A00D9C" w:rsidP="001D28A3">
      <w:pPr>
        <w:jc w:val="both"/>
        <w:rPr>
          <w:rFonts w:ascii="Times New Roman" w:hAnsi="Times New Roman" w:cs="Times New Roman"/>
          <w:sz w:val="24"/>
          <w:szCs w:val="24"/>
        </w:rPr>
      </w:pPr>
      <w:r w:rsidRPr="00222F32">
        <w:rPr>
          <w:rFonts w:ascii="Times New Roman" w:hAnsi="Times New Roman" w:cs="Times New Roman"/>
          <w:sz w:val="24"/>
          <w:szCs w:val="24"/>
        </w:rPr>
        <w:t xml:space="preserve">Grad Poreč - </w:t>
      </w:r>
      <w:proofErr w:type="spellStart"/>
      <w:r w:rsidRPr="00222F32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222F32">
        <w:rPr>
          <w:rFonts w:ascii="Times New Roman" w:hAnsi="Times New Roman" w:cs="Times New Roman"/>
          <w:sz w:val="24"/>
          <w:szCs w:val="24"/>
        </w:rPr>
        <w:t xml:space="preserve"> nema aktivn</w:t>
      </w:r>
      <w:r w:rsidR="00943B68" w:rsidRPr="00222F32">
        <w:rPr>
          <w:rFonts w:ascii="Times New Roman" w:hAnsi="Times New Roman" w:cs="Times New Roman"/>
          <w:sz w:val="24"/>
          <w:szCs w:val="24"/>
        </w:rPr>
        <w:t>i</w:t>
      </w:r>
      <w:r w:rsidRPr="00222F32">
        <w:rPr>
          <w:rFonts w:ascii="Times New Roman" w:hAnsi="Times New Roman" w:cs="Times New Roman"/>
          <w:sz w:val="24"/>
          <w:szCs w:val="24"/>
        </w:rPr>
        <w:t>h ja</w:t>
      </w:r>
      <w:r w:rsidR="00563787" w:rsidRPr="00222F32">
        <w:rPr>
          <w:rFonts w:ascii="Times New Roman" w:hAnsi="Times New Roman" w:cs="Times New Roman"/>
          <w:sz w:val="24"/>
          <w:szCs w:val="24"/>
        </w:rPr>
        <w:t>mstva u izvještajnom razdoblju.</w:t>
      </w:r>
    </w:p>
    <w:p w14:paraId="11CC5855" w14:textId="77777777" w:rsidR="00C40125" w:rsidRDefault="00C40125" w:rsidP="001D28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37F18" w14:textId="6EEDF289" w:rsidR="0012750C" w:rsidRDefault="00C40125" w:rsidP="00C401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D28A3" w:rsidRPr="00C40125">
        <w:rPr>
          <w:rFonts w:ascii="Times New Roman" w:hAnsi="Times New Roman" w:cs="Times New Roman"/>
          <w:b/>
          <w:sz w:val="24"/>
          <w:szCs w:val="24"/>
        </w:rPr>
        <w:t>2.</w:t>
      </w:r>
      <w:r w:rsidR="0012750C" w:rsidRPr="00C40125">
        <w:rPr>
          <w:rFonts w:ascii="Times New Roman" w:hAnsi="Times New Roman" w:cs="Times New Roman"/>
          <w:b/>
          <w:sz w:val="24"/>
          <w:szCs w:val="24"/>
        </w:rPr>
        <w:t xml:space="preserve">IZVJEŠTAJ O ZADUŽIVANJU NA DOMAĆEM  I </w:t>
      </w:r>
      <w:r w:rsidR="00037A24" w:rsidRPr="00C40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50C" w:rsidRPr="00C40125">
        <w:rPr>
          <w:rFonts w:ascii="Times New Roman" w:hAnsi="Times New Roman" w:cs="Times New Roman"/>
          <w:b/>
          <w:sz w:val="24"/>
          <w:szCs w:val="24"/>
        </w:rPr>
        <w:t xml:space="preserve">STRANOM </w:t>
      </w:r>
      <w:r w:rsidR="00A32EC2" w:rsidRPr="00C40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50C" w:rsidRPr="00C40125">
        <w:rPr>
          <w:rFonts w:ascii="Times New Roman" w:hAnsi="Times New Roman" w:cs="Times New Roman"/>
          <w:b/>
          <w:sz w:val="24"/>
          <w:szCs w:val="24"/>
        </w:rPr>
        <w:t xml:space="preserve">TRŽIŠTU KAPITALA  ZA RAZDOBLJE OD </w:t>
      </w:r>
      <w:r w:rsidR="0016123F" w:rsidRPr="00C40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50C" w:rsidRPr="00C40125">
        <w:rPr>
          <w:rFonts w:ascii="Times New Roman" w:hAnsi="Times New Roman" w:cs="Times New Roman"/>
          <w:b/>
          <w:sz w:val="24"/>
          <w:szCs w:val="24"/>
        </w:rPr>
        <w:t>01.01.  DO  30.06.20</w:t>
      </w:r>
      <w:r w:rsidR="00CD2F57" w:rsidRPr="00C40125">
        <w:rPr>
          <w:rFonts w:ascii="Times New Roman" w:hAnsi="Times New Roman" w:cs="Times New Roman"/>
          <w:b/>
          <w:sz w:val="24"/>
          <w:szCs w:val="24"/>
        </w:rPr>
        <w:t>2</w:t>
      </w:r>
      <w:r w:rsidR="006274B8">
        <w:rPr>
          <w:rFonts w:ascii="Times New Roman" w:hAnsi="Times New Roman" w:cs="Times New Roman"/>
          <w:b/>
          <w:sz w:val="24"/>
          <w:szCs w:val="24"/>
        </w:rPr>
        <w:t>5</w:t>
      </w:r>
      <w:r w:rsidR="0012750C" w:rsidRPr="00C4012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581845E7" w14:textId="77777777" w:rsidR="00C40125" w:rsidRPr="009858D6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D6">
        <w:rPr>
          <w:rFonts w:ascii="Times New Roman" w:hAnsi="Times New Roman" w:cs="Times New Roman"/>
          <w:sz w:val="24"/>
          <w:szCs w:val="24"/>
        </w:rPr>
        <w:t>Dugoročno zaduživanje Grada Poreča-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 izvršeno je sklapanjem Ugovora o dugoročnom kreditu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858D6">
        <w:rPr>
          <w:rFonts w:ascii="Times New Roman" w:hAnsi="Times New Roman" w:cs="Times New Roman"/>
          <w:sz w:val="24"/>
          <w:szCs w:val="24"/>
        </w:rPr>
        <w:t xml:space="preserve"> Hrvatskom bankom za obnovu i razvitak Zagreb u iznosu od 58.666.666,67 (7.786.405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) dana 26. lipnja 2017. godine, na ukupno 15 godina, temeljem suglasnosti Vlade RH, Klasa: 022-03/17-04/176,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: 50301-25/27-17-2 od 01. lipnja 2017. godine, radi financiranja izgradnje osnovnih škola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Finida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Žbandaj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>.</w:t>
      </w:r>
    </w:p>
    <w:p w14:paraId="363E83F6" w14:textId="77777777" w:rsidR="00C40125" w:rsidRPr="009858D6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D6">
        <w:rPr>
          <w:rFonts w:ascii="Times New Roman" w:hAnsi="Times New Roman" w:cs="Times New Roman"/>
          <w:sz w:val="24"/>
          <w:szCs w:val="24"/>
        </w:rPr>
        <w:t>U svrhu financiranja modernizacije javne rasvjete na području Grada Poreča-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, izvršeno je dugoročno zaduživanje sklapanjem Ugovora o dugoročnom kreditu s Hrvatskom bankom za obnovu i razvitak (HBOR) u iznosu od 4.000.000,00 kn (530.891,23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) dana 25.08.2020. godine, na ukupno 5 godina, temeljem suglasnosti za zaduživanje Vlade RH, Klase: 022-03/19-04/242,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>: 50301-25</w:t>
      </w:r>
      <w:r>
        <w:rPr>
          <w:rFonts w:ascii="Times New Roman" w:hAnsi="Times New Roman" w:cs="Times New Roman"/>
          <w:sz w:val="24"/>
          <w:szCs w:val="24"/>
        </w:rPr>
        <w:t xml:space="preserve">/06-19-2, od 27.06.2019. godine. U travnju 2023. godine sklopljen je Ugovor o kreditu s HBOR-om za nastavak modernizacije javne rasvjete u iznosu od 427.135,18 eura, temeljem suglasnosti za zaduživanje Vlade RH, Klase: 022-03/23-01/126,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50301-05/16-23-2 od 13.03.2023. godine, te je kredit u cijelosti iskorišten na dan 30.06.2024. godine.</w:t>
      </w:r>
    </w:p>
    <w:p w14:paraId="1759546E" w14:textId="77777777" w:rsidR="00C40125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D6">
        <w:rPr>
          <w:rFonts w:ascii="Times New Roman" w:hAnsi="Times New Roman" w:cs="Times New Roman"/>
          <w:sz w:val="24"/>
          <w:szCs w:val="24"/>
        </w:rPr>
        <w:t>Grad je izvršio dugoročno zaduživanje</w:t>
      </w:r>
      <w:r w:rsidRPr="009858D6">
        <w:t xml:space="preserve"> </w:t>
      </w:r>
      <w:r w:rsidRPr="009858D6">
        <w:rPr>
          <w:rFonts w:ascii="Times New Roman" w:hAnsi="Times New Roman" w:cs="Times New Roman"/>
          <w:sz w:val="24"/>
          <w:szCs w:val="24"/>
        </w:rPr>
        <w:t xml:space="preserve">sklapanjem Ugovora o dugoročnom kreditu s Privrednom bankom Zagreb d.d. u iznosu od 20.000.000,00 kn (2.654.456,16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>) dana 24.12.2020. godine, na ukupno 15 godina, temeljem suglasnosti za zaduživanje Vlade RH, Klase: 022-03/20-04/481, Urbroj:50301-05/16-20-2, od 24.12.2020. godine, radi financiranja kapitalnog projekta rekonstrukcije gradske rive u Poreču.</w:t>
      </w:r>
    </w:p>
    <w:p w14:paraId="5908AE31" w14:textId="7191D647" w:rsidR="00C40125" w:rsidRPr="009858D6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Ugovoreni su i kreditni aranžmani s Privrednom bankom Zagreb d.d. u iznosu od 2.700.000,00 eura i 6.100.000,00 eura temeljem suglasnosti za zaduživanje Vlade RH, Klase: 022-03/24-04/219,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50301-05/16-24-3 od 13.06.2024. godine, namijenjeni financiranju izgradnje i opremanja dječjih vrtića u Novoj Vasi i Varvarima</w:t>
      </w:r>
      <w:r w:rsidR="006274B8">
        <w:rPr>
          <w:rFonts w:ascii="Times New Roman" w:hAnsi="Times New Roman" w:cs="Times New Roman"/>
          <w:sz w:val="24"/>
          <w:szCs w:val="24"/>
        </w:rPr>
        <w:t>, koji su u cijelosti iskorišteni na dan 30.06.2025.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F6A6A" w14:textId="5D7361E2" w:rsidR="00C40125" w:rsidRPr="00E40743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>Stanje kredita i zajmova na dan 01.01.202</w:t>
      </w:r>
      <w:r w:rsidR="009C034B"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iznosilo je </w:t>
      </w:r>
      <w:r w:rsidR="009C034B"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>10.787.711,37</w:t>
      </w:r>
      <w:r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eura, otplaćeno je </w:t>
      </w:r>
      <w:r w:rsidR="009C034B"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>537.953,88 eura</w:t>
      </w:r>
      <w:r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na dan 30.06.202</w:t>
      </w:r>
      <w:r w:rsidR="009C034B"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stanje ukupnih obveza po kreditima i zajmovima iznosi </w:t>
      </w:r>
      <w:r w:rsidR="009C034B"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>17.190,694,22</w:t>
      </w:r>
      <w:r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9C034B"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obzirom da je u otplatu prenijet kredit za izgradnju dječjih vrtića Nova Vas i Varvari u ukupnom iznosu od 8.800.000 eura.</w:t>
      </w:r>
    </w:p>
    <w:p w14:paraId="4FAA77EA" w14:textId="3EF07CEE" w:rsidR="00C40125" w:rsidRPr="00E40743" w:rsidRDefault="00C40125" w:rsidP="006274B8">
      <w:pPr>
        <w:pStyle w:val="Bezprored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743">
        <w:rPr>
          <w:rFonts w:ascii="Times New Roman" w:hAnsi="Times New Roman" w:cs="Times New Roman"/>
          <w:color w:val="000000" w:themeColor="text1"/>
          <w:sz w:val="24"/>
          <w:szCs w:val="24"/>
        </w:rPr>
        <w:t>Otplate kreditnih obveza se vrše redovito, dinamikom ugovorenom s bankama, te u izvještajnom razdoblju nema dospjelih kamata na kredite i zajmove već su iste plaćene u cijelosti.</w:t>
      </w:r>
    </w:p>
    <w:p w14:paraId="06E202DE" w14:textId="62F19D14" w:rsidR="000D0531" w:rsidRDefault="000D0531" w:rsidP="006274B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3E5DA" w14:textId="7E35BC7A" w:rsidR="00E40743" w:rsidRDefault="00E40743" w:rsidP="006274B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C7DD1" w14:textId="77777777" w:rsidR="00E40743" w:rsidRPr="006274B8" w:rsidRDefault="00E40743" w:rsidP="006274B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7CDA6" w14:textId="2A2195EC" w:rsidR="000137F0" w:rsidRDefault="000137F0" w:rsidP="001D28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EEB">
        <w:rPr>
          <w:rFonts w:ascii="Times New Roman" w:hAnsi="Times New Roman" w:cs="Times New Roman"/>
          <w:b/>
          <w:sz w:val="24"/>
          <w:szCs w:val="24"/>
        </w:rPr>
        <w:lastRenderedPageBreak/>
        <w:t>Tablica 9. PRIMLJENI KREDITI I ZAJMOVI I NIHOVE OTPLATE</w:t>
      </w:r>
    </w:p>
    <w:tbl>
      <w:tblPr>
        <w:tblW w:w="95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469"/>
        <w:gridCol w:w="1418"/>
        <w:gridCol w:w="1196"/>
        <w:gridCol w:w="1361"/>
        <w:gridCol w:w="1554"/>
        <w:gridCol w:w="1168"/>
      </w:tblGrid>
      <w:tr w:rsidR="00C53465" w:rsidRPr="00C53465" w14:paraId="7FC0D89A" w14:textId="77777777" w:rsidTr="00C53465">
        <w:trPr>
          <w:trHeight w:val="170"/>
        </w:trPr>
        <w:tc>
          <w:tcPr>
            <w:tcW w:w="1361" w:type="dxa"/>
            <w:shd w:val="clear" w:color="auto" w:fill="F7CAAC"/>
            <w:vAlign w:val="center"/>
            <w:hideMark/>
          </w:tcPr>
          <w:p w14:paraId="3B962086" w14:textId="77777777" w:rsidR="00C53465" w:rsidRPr="00C53465" w:rsidRDefault="00C53465" w:rsidP="00D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 pravne osobe</w:t>
            </w:r>
          </w:p>
        </w:tc>
        <w:tc>
          <w:tcPr>
            <w:tcW w:w="1469" w:type="dxa"/>
            <w:shd w:val="clear" w:color="auto" w:fill="F7CAAC"/>
            <w:vAlign w:val="center"/>
            <w:hideMark/>
          </w:tcPr>
          <w:p w14:paraId="096A79D8" w14:textId="77777777" w:rsidR="00C53465" w:rsidRPr="00C53465" w:rsidRDefault="00C53465" w:rsidP="00D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Ugovorena valuta i iznos</w:t>
            </w:r>
          </w:p>
        </w:tc>
        <w:tc>
          <w:tcPr>
            <w:tcW w:w="1418" w:type="dxa"/>
            <w:shd w:val="clear" w:color="auto" w:fill="F7CAAC"/>
            <w:vAlign w:val="center"/>
            <w:hideMark/>
          </w:tcPr>
          <w:p w14:paraId="54D0F9AE" w14:textId="77777777" w:rsidR="00C53465" w:rsidRPr="00C53465" w:rsidRDefault="00C53465" w:rsidP="00D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Stanje kredita i zajma 1.1. u EUR</w:t>
            </w:r>
          </w:p>
        </w:tc>
        <w:tc>
          <w:tcPr>
            <w:tcW w:w="1196" w:type="dxa"/>
            <w:shd w:val="clear" w:color="auto" w:fill="F7CAAC"/>
            <w:vAlign w:val="center"/>
            <w:hideMark/>
          </w:tcPr>
          <w:p w14:paraId="70077A79" w14:textId="77777777" w:rsidR="00C53465" w:rsidRPr="00C53465" w:rsidRDefault="00C53465" w:rsidP="00D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Otplate glavnice</w:t>
            </w:r>
          </w:p>
        </w:tc>
        <w:tc>
          <w:tcPr>
            <w:tcW w:w="1361" w:type="dxa"/>
            <w:shd w:val="clear" w:color="auto" w:fill="F7CAAC"/>
            <w:vAlign w:val="center"/>
            <w:hideMark/>
          </w:tcPr>
          <w:p w14:paraId="69F2743B" w14:textId="77777777" w:rsidR="00C53465" w:rsidRPr="00C53465" w:rsidRDefault="00C53465" w:rsidP="00D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Primljeni krediti u tekućoj godini</w:t>
            </w:r>
          </w:p>
        </w:tc>
        <w:tc>
          <w:tcPr>
            <w:tcW w:w="1554" w:type="dxa"/>
            <w:shd w:val="clear" w:color="auto" w:fill="F7CAAC"/>
            <w:vAlign w:val="center"/>
            <w:hideMark/>
          </w:tcPr>
          <w:p w14:paraId="1561FA71" w14:textId="40DB7EB0" w:rsidR="00C53465" w:rsidRPr="00C53465" w:rsidRDefault="00C53465" w:rsidP="00D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Stanje kredita i zajma 30.06. u EUR</w:t>
            </w:r>
          </w:p>
        </w:tc>
        <w:tc>
          <w:tcPr>
            <w:tcW w:w="1168" w:type="dxa"/>
            <w:shd w:val="clear" w:color="auto" w:fill="F7CAAC"/>
            <w:vAlign w:val="center"/>
            <w:hideMark/>
          </w:tcPr>
          <w:p w14:paraId="6AD16FF4" w14:textId="77777777" w:rsidR="00C53465" w:rsidRPr="00C53465" w:rsidRDefault="00C53465" w:rsidP="00D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Datum dospijeća kredita i zajma</w:t>
            </w:r>
          </w:p>
        </w:tc>
      </w:tr>
      <w:tr w:rsidR="00C53465" w:rsidRPr="00C53465" w14:paraId="0111A697" w14:textId="77777777" w:rsidTr="00C53465">
        <w:trPr>
          <w:trHeight w:val="930"/>
        </w:trPr>
        <w:tc>
          <w:tcPr>
            <w:tcW w:w="1361" w:type="dxa"/>
            <w:shd w:val="clear" w:color="auto" w:fill="auto"/>
            <w:vAlign w:val="center"/>
            <w:hideMark/>
          </w:tcPr>
          <w:p w14:paraId="49E513D8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HBOR Zagreb</w:t>
            </w:r>
          </w:p>
        </w:tc>
        <w:tc>
          <w:tcPr>
            <w:tcW w:w="1469" w:type="dxa"/>
            <w:shd w:val="clear" w:color="auto" w:fill="auto"/>
            <w:hideMark/>
          </w:tcPr>
          <w:p w14:paraId="5E4B1BE6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      7.786.404,76</w:t>
            </w:r>
          </w:p>
          <w:p w14:paraId="74372885" w14:textId="027A359A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KN       58.666.666</w:t>
            </w:r>
          </w:p>
        </w:tc>
        <w:tc>
          <w:tcPr>
            <w:tcW w:w="1418" w:type="dxa"/>
            <w:shd w:val="clear" w:color="auto" w:fill="auto"/>
          </w:tcPr>
          <w:p w14:paraId="031A7B78" w14:textId="6D993970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6.193.731,18</w:t>
            </w:r>
          </w:p>
        </w:tc>
        <w:tc>
          <w:tcPr>
            <w:tcW w:w="1196" w:type="dxa"/>
            <w:shd w:val="clear" w:color="auto" w:fill="auto"/>
            <w:hideMark/>
          </w:tcPr>
          <w:p w14:paraId="29FF5588" w14:textId="5B508688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353.927,46</w:t>
            </w:r>
          </w:p>
        </w:tc>
        <w:tc>
          <w:tcPr>
            <w:tcW w:w="1361" w:type="dxa"/>
            <w:shd w:val="clear" w:color="auto" w:fill="auto"/>
            <w:hideMark/>
          </w:tcPr>
          <w:p w14:paraId="4380F8F5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4" w:type="dxa"/>
            <w:shd w:val="clear" w:color="auto" w:fill="auto"/>
            <w:hideMark/>
          </w:tcPr>
          <w:p w14:paraId="45DBA279" w14:textId="2B7EDED2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5.839.803,72</w:t>
            </w:r>
          </w:p>
        </w:tc>
        <w:tc>
          <w:tcPr>
            <w:tcW w:w="1168" w:type="dxa"/>
            <w:shd w:val="clear" w:color="auto" w:fill="auto"/>
            <w:hideMark/>
          </w:tcPr>
          <w:p w14:paraId="15F4E323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30.09.2033.</w:t>
            </w:r>
          </w:p>
          <w:p w14:paraId="6EBA6DC2" w14:textId="2EF5ABC5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465" w:rsidRPr="00C53465" w14:paraId="2EF50B94" w14:textId="77777777" w:rsidTr="00C53465">
        <w:trPr>
          <w:trHeight w:val="920"/>
        </w:trPr>
        <w:tc>
          <w:tcPr>
            <w:tcW w:w="1361" w:type="dxa"/>
            <w:shd w:val="clear" w:color="auto" w:fill="auto"/>
            <w:vAlign w:val="center"/>
            <w:hideMark/>
          </w:tcPr>
          <w:p w14:paraId="01F9D6E1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PBZ Zagreb</w:t>
            </w:r>
          </w:p>
        </w:tc>
        <w:tc>
          <w:tcPr>
            <w:tcW w:w="1469" w:type="dxa"/>
            <w:shd w:val="clear" w:color="auto" w:fill="auto"/>
            <w:hideMark/>
          </w:tcPr>
          <w:p w14:paraId="54E14FBE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      2.654.456,16</w:t>
            </w:r>
          </w:p>
          <w:p w14:paraId="68B525EA" w14:textId="62BD1DC3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KN       20.000.000</w:t>
            </w:r>
          </w:p>
        </w:tc>
        <w:tc>
          <w:tcPr>
            <w:tcW w:w="1418" w:type="dxa"/>
            <w:shd w:val="clear" w:color="auto" w:fill="auto"/>
          </w:tcPr>
          <w:p w14:paraId="087C7A59" w14:textId="2A3D64B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2.182.552,82</w:t>
            </w:r>
          </w:p>
        </w:tc>
        <w:tc>
          <w:tcPr>
            <w:tcW w:w="1196" w:type="dxa"/>
            <w:shd w:val="clear" w:color="auto" w:fill="auto"/>
            <w:hideMark/>
          </w:tcPr>
          <w:p w14:paraId="2A6E67DF" w14:textId="52F59B92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88.278,42</w:t>
            </w:r>
          </w:p>
        </w:tc>
        <w:tc>
          <w:tcPr>
            <w:tcW w:w="1361" w:type="dxa"/>
            <w:shd w:val="clear" w:color="auto" w:fill="auto"/>
            <w:hideMark/>
          </w:tcPr>
          <w:p w14:paraId="6893B10C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4" w:type="dxa"/>
            <w:shd w:val="clear" w:color="auto" w:fill="auto"/>
            <w:hideMark/>
          </w:tcPr>
          <w:p w14:paraId="04FC0DCD" w14:textId="5C51BE83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2.094.274,40</w:t>
            </w:r>
          </w:p>
        </w:tc>
        <w:tc>
          <w:tcPr>
            <w:tcW w:w="1168" w:type="dxa"/>
            <w:shd w:val="clear" w:color="auto" w:fill="auto"/>
            <w:hideMark/>
          </w:tcPr>
          <w:p w14:paraId="54AA2F4A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30.04.2037.</w:t>
            </w:r>
          </w:p>
          <w:p w14:paraId="1FE4FE1B" w14:textId="21CB7D5C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465" w:rsidRPr="00C53465" w14:paraId="0FAB321C" w14:textId="77777777" w:rsidTr="00C53465">
        <w:trPr>
          <w:trHeight w:val="920"/>
        </w:trPr>
        <w:tc>
          <w:tcPr>
            <w:tcW w:w="1361" w:type="dxa"/>
            <w:shd w:val="clear" w:color="auto" w:fill="auto"/>
            <w:vAlign w:val="center"/>
            <w:hideMark/>
          </w:tcPr>
          <w:p w14:paraId="4B6871CB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HBOR Zagreb</w:t>
            </w:r>
          </w:p>
        </w:tc>
        <w:tc>
          <w:tcPr>
            <w:tcW w:w="1469" w:type="dxa"/>
            <w:shd w:val="clear" w:color="auto" w:fill="auto"/>
            <w:hideMark/>
          </w:tcPr>
          <w:p w14:paraId="1ABBAFD0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         530.891,23</w:t>
            </w:r>
          </w:p>
          <w:p w14:paraId="00E24B19" w14:textId="2D548572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KN         4.000.000</w:t>
            </w:r>
          </w:p>
        </w:tc>
        <w:tc>
          <w:tcPr>
            <w:tcW w:w="1418" w:type="dxa"/>
            <w:shd w:val="clear" w:color="auto" w:fill="auto"/>
          </w:tcPr>
          <w:p w14:paraId="0467A31A" w14:textId="104D9108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167.942,44</w:t>
            </w:r>
          </w:p>
        </w:tc>
        <w:tc>
          <w:tcPr>
            <w:tcW w:w="1196" w:type="dxa"/>
            <w:shd w:val="clear" w:color="auto" w:fill="auto"/>
            <w:hideMark/>
          </w:tcPr>
          <w:p w14:paraId="16E8C596" w14:textId="285EDCAA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53.034,48</w:t>
            </w:r>
          </w:p>
        </w:tc>
        <w:tc>
          <w:tcPr>
            <w:tcW w:w="1361" w:type="dxa"/>
            <w:shd w:val="clear" w:color="auto" w:fill="auto"/>
            <w:hideMark/>
          </w:tcPr>
          <w:p w14:paraId="7AF0BFBF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4" w:type="dxa"/>
            <w:shd w:val="clear" w:color="auto" w:fill="auto"/>
            <w:hideMark/>
          </w:tcPr>
          <w:p w14:paraId="00F9026D" w14:textId="21E488EA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114.907,96</w:t>
            </w:r>
          </w:p>
        </w:tc>
        <w:tc>
          <w:tcPr>
            <w:tcW w:w="1168" w:type="dxa"/>
            <w:shd w:val="clear" w:color="auto" w:fill="auto"/>
            <w:hideMark/>
          </w:tcPr>
          <w:p w14:paraId="6BDEB4D6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31.07.2026.</w:t>
            </w:r>
          </w:p>
          <w:p w14:paraId="59CC5A25" w14:textId="1694EF44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465" w:rsidRPr="00C53465" w14:paraId="382EB79F" w14:textId="77777777" w:rsidTr="00C53465">
        <w:trPr>
          <w:trHeight w:val="680"/>
        </w:trPr>
        <w:tc>
          <w:tcPr>
            <w:tcW w:w="1361" w:type="dxa"/>
            <w:shd w:val="clear" w:color="auto" w:fill="auto"/>
            <w:vAlign w:val="center"/>
            <w:hideMark/>
          </w:tcPr>
          <w:p w14:paraId="4E05EB0F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HBOR</w:t>
            </w:r>
          </w:p>
          <w:p w14:paraId="541789E5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Zagreb</w:t>
            </w:r>
          </w:p>
        </w:tc>
        <w:tc>
          <w:tcPr>
            <w:tcW w:w="1469" w:type="dxa"/>
            <w:shd w:val="clear" w:color="auto" w:fill="auto"/>
            <w:hideMark/>
          </w:tcPr>
          <w:p w14:paraId="386E0AD5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  <w:p w14:paraId="2612022A" w14:textId="70A2614C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427.135,18</w:t>
            </w:r>
          </w:p>
        </w:tc>
        <w:tc>
          <w:tcPr>
            <w:tcW w:w="1418" w:type="dxa"/>
            <w:shd w:val="clear" w:color="auto" w:fill="auto"/>
          </w:tcPr>
          <w:p w14:paraId="1BE9D549" w14:textId="0AC19D80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384.421,66</w:t>
            </w:r>
          </w:p>
        </w:tc>
        <w:tc>
          <w:tcPr>
            <w:tcW w:w="1196" w:type="dxa"/>
            <w:shd w:val="clear" w:color="auto" w:fill="auto"/>
            <w:hideMark/>
          </w:tcPr>
          <w:p w14:paraId="74A804B1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42.713,52</w:t>
            </w:r>
          </w:p>
        </w:tc>
        <w:tc>
          <w:tcPr>
            <w:tcW w:w="1361" w:type="dxa"/>
            <w:shd w:val="clear" w:color="auto" w:fill="auto"/>
          </w:tcPr>
          <w:p w14:paraId="6CC8FCD3" w14:textId="57CE2ED2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4" w:type="dxa"/>
            <w:shd w:val="clear" w:color="auto" w:fill="auto"/>
            <w:hideMark/>
          </w:tcPr>
          <w:p w14:paraId="759814AC" w14:textId="12D1A75A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341.708,14</w:t>
            </w:r>
          </w:p>
        </w:tc>
        <w:tc>
          <w:tcPr>
            <w:tcW w:w="1168" w:type="dxa"/>
            <w:shd w:val="clear" w:color="auto" w:fill="auto"/>
            <w:hideMark/>
          </w:tcPr>
          <w:p w14:paraId="665E0B95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24.12.2023.</w:t>
            </w:r>
          </w:p>
          <w:p w14:paraId="40EF5222" w14:textId="6AABCA0F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465" w:rsidRPr="00C53465" w14:paraId="18EC16E8" w14:textId="77777777" w:rsidTr="00C53465">
        <w:trPr>
          <w:trHeight w:val="940"/>
        </w:trPr>
        <w:tc>
          <w:tcPr>
            <w:tcW w:w="1361" w:type="dxa"/>
            <w:shd w:val="clear" w:color="auto" w:fill="FFFFFF" w:themeFill="background1"/>
            <w:vAlign w:val="center"/>
          </w:tcPr>
          <w:p w14:paraId="578D96FD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PBZ Zagreb iz NPOO HBOR</w:t>
            </w:r>
          </w:p>
        </w:tc>
        <w:tc>
          <w:tcPr>
            <w:tcW w:w="1469" w:type="dxa"/>
            <w:shd w:val="clear" w:color="auto" w:fill="FFFFFF" w:themeFill="background1"/>
          </w:tcPr>
          <w:p w14:paraId="7CA07CC8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  <w:p w14:paraId="6DE65CCC" w14:textId="33E00A7B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6.100.000,00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3982E5BC" w14:textId="40C3F6D1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1.438.895,54</w:t>
            </w:r>
          </w:p>
        </w:tc>
        <w:tc>
          <w:tcPr>
            <w:tcW w:w="1196" w:type="dxa"/>
            <w:shd w:val="clear" w:color="auto" w:fill="FFFFFF" w:themeFill="background1"/>
            <w:noWrap/>
          </w:tcPr>
          <w:p w14:paraId="6DB43F3A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1" w:type="dxa"/>
            <w:shd w:val="clear" w:color="auto" w:fill="FFFFFF" w:themeFill="background1"/>
            <w:noWrap/>
          </w:tcPr>
          <w:p w14:paraId="36EA7D6C" w14:textId="15DE9B86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4.661.104,46</w:t>
            </w:r>
          </w:p>
        </w:tc>
        <w:tc>
          <w:tcPr>
            <w:tcW w:w="1554" w:type="dxa"/>
            <w:shd w:val="clear" w:color="auto" w:fill="FFFFFF" w:themeFill="background1"/>
            <w:noWrap/>
          </w:tcPr>
          <w:p w14:paraId="5CDA5AB2" w14:textId="5098AB20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6.100.000,00</w:t>
            </w:r>
          </w:p>
        </w:tc>
        <w:tc>
          <w:tcPr>
            <w:tcW w:w="1168" w:type="dxa"/>
            <w:shd w:val="clear" w:color="auto" w:fill="FFFFFF" w:themeFill="background1"/>
          </w:tcPr>
          <w:p w14:paraId="3FD63CED" w14:textId="3E39A05C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30.06.2040.</w:t>
            </w:r>
          </w:p>
        </w:tc>
      </w:tr>
      <w:tr w:rsidR="00C53465" w:rsidRPr="00C53465" w14:paraId="40A9B17D" w14:textId="77777777" w:rsidTr="00C53465">
        <w:trPr>
          <w:trHeight w:val="700"/>
        </w:trPr>
        <w:tc>
          <w:tcPr>
            <w:tcW w:w="1361" w:type="dxa"/>
            <w:shd w:val="clear" w:color="auto" w:fill="FFFFFF" w:themeFill="background1"/>
            <w:vAlign w:val="center"/>
          </w:tcPr>
          <w:p w14:paraId="231CB478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PBZ Zagreb</w:t>
            </w:r>
          </w:p>
        </w:tc>
        <w:tc>
          <w:tcPr>
            <w:tcW w:w="1469" w:type="dxa"/>
            <w:shd w:val="clear" w:color="auto" w:fill="FFFFFF" w:themeFill="background1"/>
          </w:tcPr>
          <w:p w14:paraId="6C29A4B6" w14:textId="3EA66F05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  <w:p w14:paraId="1F4428A7" w14:textId="14A0D826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2.700.000,00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14D845F8" w14:textId="38E0760F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420.168,55</w:t>
            </w:r>
          </w:p>
        </w:tc>
        <w:tc>
          <w:tcPr>
            <w:tcW w:w="1196" w:type="dxa"/>
            <w:shd w:val="clear" w:color="auto" w:fill="FFFFFF" w:themeFill="background1"/>
            <w:noWrap/>
          </w:tcPr>
          <w:p w14:paraId="4800F084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1" w:type="dxa"/>
            <w:shd w:val="clear" w:color="auto" w:fill="FFFFFF" w:themeFill="background1"/>
            <w:noWrap/>
          </w:tcPr>
          <w:p w14:paraId="6717E559" w14:textId="2B9F6B55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2.279.831,45</w:t>
            </w:r>
          </w:p>
        </w:tc>
        <w:tc>
          <w:tcPr>
            <w:tcW w:w="1554" w:type="dxa"/>
            <w:shd w:val="clear" w:color="auto" w:fill="FFFFFF" w:themeFill="background1"/>
            <w:noWrap/>
          </w:tcPr>
          <w:p w14:paraId="1AC668AB" w14:textId="4138BC21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2.700.000,00</w:t>
            </w:r>
          </w:p>
        </w:tc>
        <w:tc>
          <w:tcPr>
            <w:tcW w:w="1168" w:type="dxa"/>
            <w:shd w:val="clear" w:color="auto" w:fill="FFFFFF" w:themeFill="background1"/>
          </w:tcPr>
          <w:p w14:paraId="48AA19B9" w14:textId="77777777" w:rsidR="00C53465" w:rsidRPr="00C53465" w:rsidRDefault="00C53465" w:rsidP="0023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30.06.2040.</w:t>
            </w:r>
          </w:p>
        </w:tc>
      </w:tr>
      <w:tr w:rsidR="00C53465" w:rsidRPr="00C53465" w14:paraId="362682E4" w14:textId="77777777" w:rsidTr="00C53465">
        <w:trPr>
          <w:trHeight w:val="170"/>
        </w:trPr>
        <w:tc>
          <w:tcPr>
            <w:tcW w:w="1361" w:type="dxa"/>
            <w:shd w:val="clear" w:color="auto" w:fill="F7CAAC"/>
            <w:vAlign w:val="center"/>
            <w:hideMark/>
          </w:tcPr>
          <w:p w14:paraId="292ED604" w14:textId="77777777" w:rsidR="00C53465" w:rsidRPr="00C53465" w:rsidRDefault="00C53465" w:rsidP="00D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69" w:type="dxa"/>
            <w:shd w:val="clear" w:color="auto" w:fill="F7CAAC"/>
            <w:vAlign w:val="center"/>
            <w:hideMark/>
          </w:tcPr>
          <w:p w14:paraId="04D53066" w14:textId="77777777" w:rsidR="00C53465" w:rsidRPr="00C53465" w:rsidRDefault="00C53465" w:rsidP="00D02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20.198.887,33</w:t>
            </w:r>
          </w:p>
        </w:tc>
        <w:tc>
          <w:tcPr>
            <w:tcW w:w="1418" w:type="dxa"/>
            <w:shd w:val="clear" w:color="auto" w:fill="F7CAAC"/>
            <w:noWrap/>
            <w:vAlign w:val="center"/>
          </w:tcPr>
          <w:p w14:paraId="01AE5D79" w14:textId="6F37278A" w:rsidR="00C53465" w:rsidRPr="00C53465" w:rsidRDefault="00C53465" w:rsidP="00D02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10.787.711,37</w:t>
            </w:r>
          </w:p>
        </w:tc>
        <w:tc>
          <w:tcPr>
            <w:tcW w:w="1196" w:type="dxa"/>
            <w:shd w:val="clear" w:color="auto" w:fill="F7CAAC"/>
            <w:noWrap/>
            <w:vAlign w:val="center"/>
            <w:hideMark/>
          </w:tcPr>
          <w:p w14:paraId="1944A913" w14:textId="347DE6AD" w:rsidR="00C53465" w:rsidRPr="00C53465" w:rsidRDefault="00C53465" w:rsidP="00D02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537.953,88</w:t>
            </w:r>
          </w:p>
        </w:tc>
        <w:tc>
          <w:tcPr>
            <w:tcW w:w="1361" w:type="dxa"/>
            <w:shd w:val="clear" w:color="auto" w:fill="F7CAAC"/>
            <w:noWrap/>
            <w:vAlign w:val="center"/>
            <w:hideMark/>
          </w:tcPr>
          <w:p w14:paraId="7A1707A2" w14:textId="0833DDAE" w:rsidR="00C53465" w:rsidRPr="00C53465" w:rsidRDefault="00C53465" w:rsidP="00D02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6.940.935,91</w:t>
            </w:r>
          </w:p>
        </w:tc>
        <w:tc>
          <w:tcPr>
            <w:tcW w:w="1554" w:type="dxa"/>
            <w:shd w:val="clear" w:color="auto" w:fill="F7CAAC"/>
            <w:noWrap/>
            <w:vAlign w:val="center"/>
            <w:hideMark/>
          </w:tcPr>
          <w:p w14:paraId="608CB880" w14:textId="1A779A64" w:rsidR="00C53465" w:rsidRPr="00C53465" w:rsidRDefault="00C53465" w:rsidP="00D02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17.190.694,22</w:t>
            </w:r>
          </w:p>
        </w:tc>
        <w:tc>
          <w:tcPr>
            <w:tcW w:w="1168" w:type="dxa"/>
            <w:shd w:val="clear" w:color="auto" w:fill="F7CAAC"/>
            <w:hideMark/>
          </w:tcPr>
          <w:p w14:paraId="118F0103" w14:textId="77777777" w:rsidR="00C53465" w:rsidRPr="00C53465" w:rsidRDefault="00C53465" w:rsidP="00D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4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5814205" w14:textId="77777777" w:rsidR="00470BB4" w:rsidRPr="000D0531" w:rsidRDefault="00470BB4" w:rsidP="001D28A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36E9E6" w14:textId="08F0CE76" w:rsidR="00A32EC2" w:rsidRPr="00186F8E" w:rsidRDefault="00A32EC2" w:rsidP="00186F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E6902" w14:textId="5FA7D07D" w:rsidR="00A32EC2" w:rsidRPr="00EE53DC" w:rsidRDefault="00A32EC2" w:rsidP="00A32E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53D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D28A3" w:rsidRPr="00EE53DC">
        <w:rPr>
          <w:rFonts w:ascii="Times New Roman" w:hAnsi="Times New Roman" w:cs="Times New Roman"/>
          <w:b/>
          <w:sz w:val="24"/>
          <w:szCs w:val="24"/>
        </w:rPr>
        <w:t>7.3.</w:t>
      </w:r>
      <w:r w:rsidRPr="00EE5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4F2" w:rsidRPr="00EE53DC">
        <w:rPr>
          <w:rFonts w:ascii="Times New Roman" w:hAnsi="Times New Roman" w:cs="Times New Roman"/>
          <w:b/>
          <w:sz w:val="24"/>
          <w:szCs w:val="24"/>
        </w:rPr>
        <w:t xml:space="preserve">IZVJEŠTAJ O KORIŠTENJU TEKUĆE PRORAČUNSKE </w:t>
      </w:r>
      <w:r w:rsidR="0058298E" w:rsidRPr="00EE5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3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9B1FBB" w14:textId="08BB392A" w:rsidR="0058298E" w:rsidRPr="00EE53DC" w:rsidRDefault="00A32EC2" w:rsidP="00A32E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53D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134F2" w:rsidRPr="00EE53DC">
        <w:rPr>
          <w:rFonts w:ascii="Times New Roman" w:hAnsi="Times New Roman" w:cs="Times New Roman"/>
          <w:b/>
          <w:sz w:val="24"/>
          <w:szCs w:val="24"/>
        </w:rPr>
        <w:t>PRIČUVE ZA RAZDOBLJE 01.01. DO 30.06.20</w:t>
      </w:r>
      <w:r w:rsidR="00D91F83" w:rsidRPr="00EE53DC">
        <w:rPr>
          <w:rFonts w:ascii="Times New Roman" w:hAnsi="Times New Roman" w:cs="Times New Roman"/>
          <w:b/>
          <w:sz w:val="24"/>
          <w:szCs w:val="24"/>
        </w:rPr>
        <w:t>2</w:t>
      </w:r>
      <w:r w:rsidR="000018EF">
        <w:rPr>
          <w:rFonts w:ascii="Times New Roman" w:hAnsi="Times New Roman" w:cs="Times New Roman"/>
          <w:b/>
          <w:sz w:val="24"/>
          <w:szCs w:val="24"/>
        </w:rPr>
        <w:t>5</w:t>
      </w:r>
      <w:r w:rsidR="00E134F2" w:rsidRPr="00EE53DC">
        <w:rPr>
          <w:rFonts w:ascii="Times New Roman" w:hAnsi="Times New Roman" w:cs="Times New Roman"/>
          <w:b/>
          <w:sz w:val="24"/>
          <w:szCs w:val="24"/>
        </w:rPr>
        <w:t>.</w:t>
      </w:r>
      <w:r w:rsidR="0058298E" w:rsidRPr="00EE53DC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14:paraId="02EB3CC5" w14:textId="77777777" w:rsidR="00A32EC2" w:rsidRPr="00EE53DC" w:rsidRDefault="00A32EC2" w:rsidP="00A32E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1CF285" w14:textId="36AAD147" w:rsidR="008831E0" w:rsidRDefault="00E134F2" w:rsidP="00AA1F39">
      <w:pPr>
        <w:jc w:val="both"/>
        <w:rPr>
          <w:rFonts w:ascii="Times New Roman" w:hAnsi="Times New Roman" w:cs="Times New Roman"/>
          <w:sz w:val="24"/>
        </w:rPr>
      </w:pPr>
      <w:r w:rsidRPr="00222F32">
        <w:rPr>
          <w:rFonts w:ascii="Times New Roman" w:hAnsi="Times New Roman" w:cs="Times New Roman"/>
          <w:sz w:val="24"/>
        </w:rPr>
        <w:t>U Proračunu za 20</w:t>
      </w:r>
      <w:r w:rsidR="00D91F83" w:rsidRPr="00222F32">
        <w:rPr>
          <w:rFonts w:ascii="Times New Roman" w:hAnsi="Times New Roman" w:cs="Times New Roman"/>
          <w:sz w:val="24"/>
        </w:rPr>
        <w:t>2</w:t>
      </w:r>
      <w:r w:rsidR="000018EF">
        <w:rPr>
          <w:rFonts w:ascii="Times New Roman" w:hAnsi="Times New Roman" w:cs="Times New Roman"/>
          <w:sz w:val="24"/>
        </w:rPr>
        <w:t>5</w:t>
      </w:r>
      <w:r w:rsidRPr="00222F32">
        <w:rPr>
          <w:rFonts w:ascii="Times New Roman" w:hAnsi="Times New Roman" w:cs="Times New Roman"/>
          <w:sz w:val="24"/>
        </w:rPr>
        <w:t xml:space="preserve">. godinu, u Razdjelu I </w:t>
      </w:r>
      <w:r w:rsidR="00AF20CF" w:rsidRPr="00222F32">
        <w:rPr>
          <w:rFonts w:ascii="Times New Roman" w:hAnsi="Times New Roman" w:cs="Times New Roman"/>
          <w:sz w:val="24"/>
        </w:rPr>
        <w:t>–</w:t>
      </w:r>
      <w:r w:rsidRPr="00222F32">
        <w:rPr>
          <w:rFonts w:ascii="Times New Roman" w:hAnsi="Times New Roman" w:cs="Times New Roman"/>
          <w:sz w:val="24"/>
        </w:rPr>
        <w:t xml:space="preserve"> </w:t>
      </w:r>
      <w:r w:rsidR="00AF20CF" w:rsidRPr="00222F32">
        <w:rPr>
          <w:rFonts w:ascii="Times New Roman" w:hAnsi="Times New Roman" w:cs="Times New Roman"/>
          <w:sz w:val="24"/>
        </w:rPr>
        <w:t>Upravni odjel za opću upravu</w:t>
      </w:r>
      <w:r w:rsidRPr="00222F32">
        <w:rPr>
          <w:rFonts w:ascii="Times New Roman" w:hAnsi="Times New Roman" w:cs="Times New Roman"/>
          <w:sz w:val="24"/>
        </w:rPr>
        <w:t xml:space="preserve">, za </w:t>
      </w:r>
      <w:r w:rsidR="00915C30" w:rsidRPr="00222F32">
        <w:rPr>
          <w:rFonts w:ascii="Times New Roman" w:hAnsi="Times New Roman" w:cs="Times New Roman"/>
          <w:sz w:val="24"/>
        </w:rPr>
        <w:t>Aktivnost</w:t>
      </w:r>
      <w:r w:rsidRPr="00222F32">
        <w:rPr>
          <w:rFonts w:ascii="Times New Roman" w:hAnsi="Times New Roman" w:cs="Times New Roman"/>
          <w:sz w:val="24"/>
        </w:rPr>
        <w:t xml:space="preserve"> Tekuća zaliha proračuna planirano je ukupno </w:t>
      </w:r>
      <w:r w:rsidR="006C2679">
        <w:rPr>
          <w:rFonts w:ascii="Times New Roman" w:hAnsi="Times New Roman" w:cs="Times New Roman"/>
          <w:sz w:val="24"/>
        </w:rPr>
        <w:t>5.0</w:t>
      </w:r>
      <w:r w:rsidR="00222F32" w:rsidRPr="00222F32">
        <w:rPr>
          <w:rFonts w:ascii="Times New Roman" w:hAnsi="Times New Roman" w:cs="Times New Roman"/>
          <w:sz w:val="24"/>
        </w:rPr>
        <w:t>00</w:t>
      </w:r>
      <w:r w:rsidR="00EE53DC">
        <w:rPr>
          <w:rFonts w:ascii="Times New Roman" w:hAnsi="Times New Roman" w:cs="Times New Roman"/>
          <w:sz w:val="24"/>
        </w:rPr>
        <w:t>,00</w:t>
      </w:r>
      <w:r w:rsidR="00222F32" w:rsidRPr="00222F32">
        <w:rPr>
          <w:rFonts w:ascii="Times New Roman" w:hAnsi="Times New Roman" w:cs="Times New Roman"/>
          <w:sz w:val="24"/>
        </w:rPr>
        <w:t xml:space="preserve"> eura</w:t>
      </w:r>
      <w:r w:rsidRPr="00222F32">
        <w:rPr>
          <w:rFonts w:ascii="Times New Roman" w:hAnsi="Times New Roman" w:cs="Times New Roman"/>
          <w:sz w:val="24"/>
        </w:rPr>
        <w:t xml:space="preserve"> za nepredviđene rashode. U razdoblju od 01.01. do 30.06.20</w:t>
      </w:r>
      <w:r w:rsidR="00D91F83" w:rsidRPr="00222F32">
        <w:rPr>
          <w:rFonts w:ascii="Times New Roman" w:hAnsi="Times New Roman" w:cs="Times New Roman"/>
          <w:sz w:val="24"/>
        </w:rPr>
        <w:t>2</w:t>
      </w:r>
      <w:r w:rsidR="000018EF">
        <w:rPr>
          <w:rFonts w:ascii="Times New Roman" w:hAnsi="Times New Roman" w:cs="Times New Roman"/>
          <w:sz w:val="24"/>
        </w:rPr>
        <w:t>5</w:t>
      </w:r>
      <w:r w:rsidRPr="00222F32">
        <w:rPr>
          <w:rFonts w:ascii="Times New Roman" w:hAnsi="Times New Roman" w:cs="Times New Roman"/>
          <w:sz w:val="24"/>
        </w:rPr>
        <w:t xml:space="preserve">. </w:t>
      </w:r>
      <w:r w:rsidR="00C342D3" w:rsidRPr="00222F32">
        <w:rPr>
          <w:rFonts w:ascii="Times New Roman" w:hAnsi="Times New Roman" w:cs="Times New Roman"/>
          <w:sz w:val="24"/>
        </w:rPr>
        <w:t>sredstva proračunske pričuve nisu korištena.</w:t>
      </w:r>
      <w:r w:rsidR="00155351" w:rsidRPr="002A617A">
        <w:rPr>
          <w:rFonts w:ascii="Times New Roman" w:hAnsi="Times New Roman" w:cs="Times New Roman"/>
          <w:sz w:val="24"/>
        </w:rPr>
        <w:t xml:space="preserve"> </w:t>
      </w:r>
    </w:p>
    <w:sectPr w:rsidR="008831E0" w:rsidSect="000D0531">
      <w:footerReference w:type="default" r:id="rId11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3E8F" w14:textId="77777777" w:rsidR="009858D6" w:rsidRDefault="009858D6" w:rsidP="00970424">
      <w:pPr>
        <w:spacing w:after="0" w:line="240" w:lineRule="auto"/>
      </w:pPr>
      <w:r>
        <w:separator/>
      </w:r>
    </w:p>
  </w:endnote>
  <w:endnote w:type="continuationSeparator" w:id="0">
    <w:p w14:paraId="05A01F2C" w14:textId="77777777" w:rsidR="009858D6" w:rsidRDefault="009858D6" w:rsidP="0097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2836964"/>
      <w:docPartObj>
        <w:docPartGallery w:val="Page Numbers (Bottom of Page)"/>
        <w:docPartUnique/>
      </w:docPartObj>
    </w:sdtPr>
    <w:sdtEndPr/>
    <w:sdtContent>
      <w:p w14:paraId="036D75CD" w14:textId="1AC282AD" w:rsidR="009858D6" w:rsidRDefault="009858D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CFC">
          <w:rPr>
            <w:noProof/>
          </w:rPr>
          <w:t>10</w:t>
        </w:r>
        <w:r>
          <w:fldChar w:fldCharType="end"/>
        </w:r>
      </w:p>
    </w:sdtContent>
  </w:sdt>
  <w:p w14:paraId="60B51AEB" w14:textId="77777777" w:rsidR="009858D6" w:rsidRDefault="009858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AAE3" w14:textId="77777777" w:rsidR="009858D6" w:rsidRDefault="009858D6" w:rsidP="00970424">
      <w:pPr>
        <w:spacing w:after="0" w:line="240" w:lineRule="auto"/>
      </w:pPr>
      <w:r>
        <w:separator/>
      </w:r>
    </w:p>
  </w:footnote>
  <w:footnote w:type="continuationSeparator" w:id="0">
    <w:p w14:paraId="4521D6E3" w14:textId="77777777" w:rsidR="009858D6" w:rsidRDefault="009858D6" w:rsidP="0097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4FD"/>
    <w:multiLevelType w:val="hybridMultilevel"/>
    <w:tmpl w:val="B8C4C874"/>
    <w:lvl w:ilvl="0" w:tplc="E28484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B4600"/>
    <w:multiLevelType w:val="hybridMultilevel"/>
    <w:tmpl w:val="F5EAB948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3379"/>
    <w:multiLevelType w:val="hybridMultilevel"/>
    <w:tmpl w:val="B5A62788"/>
    <w:lvl w:ilvl="0" w:tplc="EE7A43D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B32E8"/>
    <w:multiLevelType w:val="hybridMultilevel"/>
    <w:tmpl w:val="358EF012"/>
    <w:lvl w:ilvl="0" w:tplc="AE36C5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3C38"/>
    <w:multiLevelType w:val="hybridMultilevel"/>
    <w:tmpl w:val="D3701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65379"/>
    <w:multiLevelType w:val="hybridMultilevel"/>
    <w:tmpl w:val="A8F2E5A0"/>
    <w:lvl w:ilvl="0" w:tplc="B47817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A64779"/>
    <w:multiLevelType w:val="hybridMultilevel"/>
    <w:tmpl w:val="E30E1384"/>
    <w:lvl w:ilvl="0" w:tplc="32068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5CF6"/>
    <w:multiLevelType w:val="hybridMultilevel"/>
    <w:tmpl w:val="40706DA0"/>
    <w:lvl w:ilvl="0" w:tplc="0AA48E0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6FF6"/>
    <w:multiLevelType w:val="hybridMultilevel"/>
    <w:tmpl w:val="1C5A253C"/>
    <w:lvl w:ilvl="0" w:tplc="37CA8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430BE"/>
    <w:multiLevelType w:val="hybridMultilevel"/>
    <w:tmpl w:val="9AB6AA12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668196E"/>
    <w:multiLevelType w:val="multilevel"/>
    <w:tmpl w:val="991A149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1" w15:restartNumberingAfterBreak="0">
    <w:nsid w:val="433503BF"/>
    <w:multiLevelType w:val="hybridMultilevel"/>
    <w:tmpl w:val="392E0C6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E35DE"/>
    <w:multiLevelType w:val="hybridMultilevel"/>
    <w:tmpl w:val="9B4652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7B0DCD"/>
    <w:multiLevelType w:val="hybridMultilevel"/>
    <w:tmpl w:val="16B6C6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535AA"/>
    <w:multiLevelType w:val="hybridMultilevel"/>
    <w:tmpl w:val="E6BECCB0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709C5"/>
    <w:multiLevelType w:val="hybridMultilevel"/>
    <w:tmpl w:val="0C6A7ACC"/>
    <w:lvl w:ilvl="0" w:tplc="E1F06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CC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F6458"/>
    <w:multiLevelType w:val="hybridMultilevel"/>
    <w:tmpl w:val="819E16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12BFE"/>
    <w:multiLevelType w:val="hybridMultilevel"/>
    <w:tmpl w:val="DF6E3FB0"/>
    <w:lvl w:ilvl="0" w:tplc="63F05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D3FDD"/>
    <w:multiLevelType w:val="hybridMultilevel"/>
    <w:tmpl w:val="D1A6452A"/>
    <w:lvl w:ilvl="0" w:tplc="CD6EAF3A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D340C78"/>
    <w:multiLevelType w:val="hybridMultilevel"/>
    <w:tmpl w:val="36884602"/>
    <w:lvl w:ilvl="0" w:tplc="691CF8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85446"/>
    <w:multiLevelType w:val="hybridMultilevel"/>
    <w:tmpl w:val="0162583E"/>
    <w:lvl w:ilvl="0" w:tplc="A14C77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54243"/>
    <w:multiLevelType w:val="hybridMultilevel"/>
    <w:tmpl w:val="A75E6BA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F0014"/>
    <w:multiLevelType w:val="multilevel"/>
    <w:tmpl w:val="F10C0B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53733366"/>
    <w:multiLevelType w:val="hybridMultilevel"/>
    <w:tmpl w:val="FE0CD1EC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A0CFC"/>
    <w:multiLevelType w:val="hybridMultilevel"/>
    <w:tmpl w:val="7B82A2D6"/>
    <w:lvl w:ilvl="0" w:tplc="EC041EF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2431C"/>
    <w:multiLevelType w:val="hybridMultilevel"/>
    <w:tmpl w:val="7DB648D2"/>
    <w:lvl w:ilvl="0" w:tplc="BF081A3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F5C9F"/>
    <w:multiLevelType w:val="hybridMultilevel"/>
    <w:tmpl w:val="9AB6A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66E28"/>
    <w:multiLevelType w:val="hybridMultilevel"/>
    <w:tmpl w:val="623E5F40"/>
    <w:lvl w:ilvl="0" w:tplc="691CF8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66F1F"/>
    <w:multiLevelType w:val="hybridMultilevel"/>
    <w:tmpl w:val="2266051A"/>
    <w:lvl w:ilvl="0" w:tplc="63F05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40328"/>
    <w:multiLevelType w:val="hybridMultilevel"/>
    <w:tmpl w:val="A08E08D6"/>
    <w:lvl w:ilvl="0" w:tplc="EE7A43D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3"/>
  </w:num>
  <w:num w:numId="4">
    <w:abstractNumId w:val="16"/>
  </w:num>
  <w:num w:numId="5">
    <w:abstractNumId w:val="9"/>
  </w:num>
  <w:num w:numId="6">
    <w:abstractNumId w:val="24"/>
  </w:num>
  <w:num w:numId="7">
    <w:abstractNumId w:val="19"/>
  </w:num>
  <w:num w:numId="8">
    <w:abstractNumId w:val="26"/>
  </w:num>
  <w:num w:numId="9">
    <w:abstractNumId w:val="21"/>
  </w:num>
  <w:num w:numId="10">
    <w:abstractNumId w:val="27"/>
  </w:num>
  <w:num w:numId="11">
    <w:abstractNumId w:val="20"/>
  </w:num>
  <w:num w:numId="12">
    <w:abstractNumId w:val="1"/>
  </w:num>
  <w:num w:numId="13">
    <w:abstractNumId w:val="15"/>
  </w:num>
  <w:num w:numId="14">
    <w:abstractNumId w:val="8"/>
  </w:num>
  <w:num w:numId="15">
    <w:abstractNumId w:val="28"/>
  </w:num>
  <w:num w:numId="16">
    <w:abstractNumId w:val="2"/>
  </w:num>
  <w:num w:numId="17">
    <w:abstractNumId w:val="29"/>
  </w:num>
  <w:num w:numId="18">
    <w:abstractNumId w:val="5"/>
  </w:num>
  <w:num w:numId="19">
    <w:abstractNumId w:val="0"/>
  </w:num>
  <w:num w:numId="20">
    <w:abstractNumId w:val="4"/>
  </w:num>
  <w:num w:numId="21">
    <w:abstractNumId w:val="7"/>
  </w:num>
  <w:num w:numId="22">
    <w:abstractNumId w:val="25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 w:numId="27">
    <w:abstractNumId w:val="6"/>
  </w:num>
  <w:num w:numId="28">
    <w:abstractNumId w:val="10"/>
  </w:num>
  <w:num w:numId="29">
    <w:abstractNumId w:val="11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180"/>
    <w:rsid w:val="000006F0"/>
    <w:rsid w:val="000018EF"/>
    <w:rsid w:val="00003F89"/>
    <w:rsid w:val="00005AEF"/>
    <w:rsid w:val="000062EC"/>
    <w:rsid w:val="00007FDC"/>
    <w:rsid w:val="00010973"/>
    <w:rsid w:val="000124BB"/>
    <w:rsid w:val="00012B42"/>
    <w:rsid w:val="00012DA7"/>
    <w:rsid w:val="000134B3"/>
    <w:rsid w:val="000137F0"/>
    <w:rsid w:val="000139E8"/>
    <w:rsid w:val="00015063"/>
    <w:rsid w:val="0002198F"/>
    <w:rsid w:val="0002233B"/>
    <w:rsid w:val="00025FEA"/>
    <w:rsid w:val="000265A2"/>
    <w:rsid w:val="00026842"/>
    <w:rsid w:val="00027513"/>
    <w:rsid w:val="00027FB4"/>
    <w:rsid w:val="00033B7E"/>
    <w:rsid w:val="0003710F"/>
    <w:rsid w:val="00037A24"/>
    <w:rsid w:val="00037BAF"/>
    <w:rsid w:val="00037E4C"/>
    <w:rsid w:val="0004177D"/>
    <w:rsid w:val="00045F17"/>
    <w:rsid w:val="00046FD5"/>
    <w:rsid w:val="0005278E"/>
    <w:rsid w:val="00053A48"/>
    <w:rsid w:val="00053F79"/>
    <w:rsid w:val="000561A0"/>
    <w:rsid w:val="00061BCC"/>
    <w:rsid w:val="00062A41"/>
    <w:rsid w:val="0006359D"/>
    <w:rsid w:val="00064D9F"/>
    <w:rsid w:val="00065301"/>
    <w:rsid w:val="00065B01"/>
    <w:rsid w:val="00065B42"/>
    <w:rsid w:val="00070ADD"/>
    <w:rsid w:val="000719EC"/>
    <w:rsid w:val="00071B7A"/>
    <w:rsid w:val="00071EAA"/>
    <w:rsid w:val="000730BE"/>
    <w:rsid w:val="000735EC"/>
    <w:rsid w:val="00074775"/>
    <w:rsid w:val="00075F6E"/>
    <w:rsid w:val="00076070"/>
    <w:rsid w:val="0007638E"/>
    <w:rsid w:val="00076FB9"/>
    <w:rsid w:val="00077295"/>
    <w:rsid w:val="0008321C"/>
    <w:rsid w:val="00092D89"/>
    <w:rsid w:val="00096633"/>
    <w:rsid w:val="000967A2"/>
    <w:rsid w:val="000A4239"/>
    <w:rsid w:val="000A4927"/>
    <w:rsid w:val="000A5364"/>
    <w:rsid w:val="000A55FB"/>
    <w:rsid w:val="000A7DDF"/>
    <w:rsid w:val="000B025C"/>
    <w:rsid w:val="000B04E3"/>
    <w:rsid w:val="000B4D39"/>
    <w:rsid w:val="000B5C25"/>
    <w:rsid w:val="000B6471"/>
    <w:rsid w:val="000B7537"/>
    <w:rsid w:val="000C78AA"/>
    <w:rsid w:val="000D0531"/>
    <w:rsid w:val="000D3071"/>
    <w:rsid w:val="000D7AD9"/>
    <w:rsid w:val="000E0326"/>
    <w:rsid w:val="000E0B18"/>
    <w:rsid w:val="000E13B5"/>
    <w:rsid w:val="000E174E"/>
    <w:rsid w:val="000E3981"/>
    <w:rsid w:val="000E39D1"/>
    <w:rsid w:val="000E511B"/>
    <w:rsid w:val="000E6B44"/>
    <w:rsid w:val="000E738A"/>
    <w:rsid w:val="000E7BE3"/>
    <w:rsid w:val="000E7DB0"/>
    <w:rsid w:val="000F0C63"/>
    <w:rsid w:val="000F0E07"/>
    <w:rsid w:val="000F3071"/>
    <w:rsid w:val="000F48E3"/>
    <w:rsid w:val="000F4B19"/>
    <w:rsid w:val="000F4FF6"/>
    <w:rsid w:val="001011AB"/>
    <w:rsid w:val="001076EF"/>
    <w:rsid w:val="00110BDD"/>
    <w:rsid w:val="001134FE"/>
    <w:rsid w:val="00115319"/>
    <w:rsid w:val="0012147E"/>
    <w:rsid w:val="001219C1"/>
    <w:rsid w:val="001244BC"/>
    <w:rsid w:val="001252E1"/>
    <w:rsid w:val="00125D19"/>
    <w:rsid w:val="0012750C"/>
    <w:rsid w:val="00131C10"/>
    <w:rsid w:val="00133CCF"/>
    <w:rsid w:val="00134642"/>
    <w:rsid w:val="001371F1"/>
    <w:rsid w:val="00142ACF"/>
    <w:rsid w:val="00143473"/>
    <w:rsid w:val="00145013"/>
    <w:rsid w:val="001464FA"/>
    <w:rsid w:val="001468A7"/>
    <w:rsid w:val="001469DC"/>
    <w:rsid w:val="00152517"/>
    <w:rsid w:val="00155351"/>
    <w:rsid w:val="001560FD"/>
    <w:rsid w:val="00156A00"/>
    <w:rsid w:val="00160686"/>
    <w:rsid w:val="0016123F"/>
    <w:rsid w:val="00161B1C"/>
    <w:rsid w:val="001629ED"/>
    <w:rsid w:val="00162FEF"/>
    <w:rsid w:val="001652EB"/>
    <w:rsid w:val="00165A13"/>
    <w:rsid w:val="001671A8"/>
    <w:rsid w:val="00167BBA"/>
    <w:rsid w:val="00170E5F"/>
    <w:rsid w:val="00180CB9"/>
    <w:rsid w:val="00180FD1"/>
    <w:rsid w:val="00181852"/>
    <w:rsid w:val="00181ADA"/>
    <w:rsid w:val="0018238F"/>
    <w:rsid w:val="00182F5A"/>
    <w:rsid w:val="001835F6"/>
    <w:rsid w:val="001839F6"/>
    <w:rsid w:val="001862F4"/>
    <w:rsid w:val="00186F8E"/>
    <w:rsid w:val="00187CE7"/>
    <w:rsid w:val="001939B2"/>
    <w:rsid w:val="001947E4"/>
    <w:rsid w:val="00194E06"/>
    <w:rsid w:val="0019637A"/>
    <w:rsid w:val="001963C8"/>
    <w:rsid w:val="00196E4A"/>
    <w:rsid w:val="001A2430"/>
    <w:rsid w:val="001A274C"/>
    <w:rsid w:val="001A3A65"/>
    <w:rsid w:val="001A4B03"/>
    <w:rsid w:val="001B434F"/>
    <w:rsid w:val="001B6A9B"/>
    <w:rsid w:val="001B7726"/>
    <w:rsid w:val="001C06A1"/>
    <w:rsid w:val="001C0798"/>
    <w:rsid w:val="001C08F2"/>
    <w:rsid w:val="001C1314"/>
    <w:rsid w:val="001C1F7D"/>
    <w:rsid w:val="001C3225"/>
    <w:rsid w:val="001C34A5"/>
    <w:rsid w:val="001D08DC"/>
    <w:rsid w:val="001D20B2"/>
    <w:rsid w:val="001D28A3"/>
    <w:rsid w:val="001D2F7C"/>
    <w:rsid w:val="001D3597"/>
    <w:rsid w:val="001D49AC"/>
    <w:rsid w:val="001D5F53"/>
    <w:rsid w:val="001D64A4"/>
    <w:rsid w:val="001E062E"/>
    <w:rsid w:val="001E0BDE"/>
    <w:rsid w:val="001E34E0"/>
    <w:rsid w:val="001E5746"/>
    <w:rsid w:val="001E64EF"/>
    <w:rsid w:val="001E7A09"/>
    <w:rsid w:val="001E7C88"/>
    <w:rsid w:val="001F1CBF"/>
    <w:rsid w:val="001F21B4"/>
    <w:rsid w:val="001F243B"/>
    <w:rsid w:val="001F4C1A"/>
    <w:rsid w:val="001F6B77"/>
    <w:rsid w:val="002018A8"/>
    <w:rsid w:val="00204FBE"/>
    <w:rsid w:val="002051E2"/>
    <w:rsid w:val="00206AAC"/>
    <w:rsid w:val="00210A36"/>
    <w:rsid w:val="0021613C"/>
    <w:rsid w:val="00217317"/>
    <w:rsid w:val="002179C9"/>
    <w:rsid w:val="00220EFE"/>
    <w:rsid w:val="00221A9E"/>
    <w:rsid w:val="00222328"/>
    <w:rsid w:val="00222613"/>
    <w:rsid w:val="00222F32"/>
    <w:rsid w:val="0022754D"/>
    <w:rsid w:val="00227C46"/>
    <w:rsid w:val="00230201"/>
    <w:rsid w:val="0023028F"/>
    <w:rsid w:val="002335D6"/>
    <w:rsid w:val="00233643"/>
    <w:rsid w:val="00233ADE"/>
    <w:rsid w:val="00233D6B"/>
    <w:rsid w:val="002365C4"/>
    <w:rsid w:val="00236D87"/>
    <w:rsid w:val="002401EC"/>
    <w:rsid w:val="00241085"/>
    <w:rsid w:val="00241C2B"/>
    <w:rsid w:val="00244834"/>
    <w:rsid w:val="00244A15"/>
    <w:rsid w:val="00250408"/>
    <w:rsid w:val="00251437"/>
    <w:rsid w:val="00255161"/>
    <w:rsid w:val="00257741"/>
    <w:rsid w:val="0025794A"/>
    <w:rsid w:val="00257E7C"/>
    <w:rsid w:val="0026273A"/>
    <w:rsid w:val="00262A4F"/>
    <w:rsid w:val="00262D07"/>
    <w:rsid w:val="00263421"/>
    <w:rsid w:val="00263794"/>
    <w:rsid w:val="00265388"/>
    <w:rsid w:val="0026588A"/>
    <w:rsid w:val="00267BF9"/>
    <w:rsid w:val="00267D17"/>
    <w:rsid w:val="00267DAB"/>
    <w:rsid w:val="00270A9B"/>
    <w:rsid w:val="00270CA0"/>
    <w:rsid w:val="00271903"/>
    <w:rsid w:val="00271FA8"/>
    <w:rsid w:val="00273B10"/>
    <w:rsid w:val="002748A7"/>
    <w:rsid w:val="00281721"/>
    <w:rsid w:val="002834DD"/>
    <w:rsid w:val="00284040"/>
    <w:rsid w:val="00286012"/>
    <w:rsid w:val="00286644"/>
    <w:rsid w:val="00286DD9"/>
    <w:rsid w:val="00287B1F"/>
    <w:rsid w:val="002923D3"/>
    <w:rsid w:val="00292E21"/>
    <w:rsid w:val="00293439"/>
    <w:rsid w:val="00294FBC"/>
    <w:rsid w:val="00296384"/>
    <w:rsid w:val="002A1960"/>
    <w:rsid w:val="002A19FD"/>
    <w:rsid w:val="002A1ED9"/>
    <w:rsid w:val="002A2CCC"/>
    <w:rsid w:val="002A385A"/>
    <w:rsid w:val="002A3E8D"/>
    <w:rsid w:val="002A617A"/>
    <w:rsid w:val="002A61D7"/>
    <w:rsid w:val="002B0FB5"/>
    <w:rsid w:val="002B4480"/>
    <w:rsid w:val="002B7B2A"/>
    <w:rsid w:val="002C08A7"/>
    <w:rsid w:val="002C17A9"/>
    <w:rsid w:val="002C2D56"/>
    <w:rsid w:val="002C56CF"/>
    <w:rsid w:val="002C657E"/>
    <w:rsid w:val="002C6645"/>
    <w:rsid w:val="002D2BEA"/>
    <w:rsid w:val="002D2F3C"/>
    <w:rsid w:val="002D3805"/>
    <w:rsid w:val="002E02D5"/>
    <w:rsid w:val="002E073D"/>
    <w:rsid w:val="002E1413"/>
    <w:rsid w:val="002E2D82"/>
    <w:rsid w:val="002E44EE"/>
    <w:rsid w:val="002E5537"/>
    <w:rsid w:val="002E649B"/>
    <w:rsid w:val="002E67D1"/>
    <w:rsid w:val="002E6B86"/>
    <w:rsid w:val="002E6CD4"/>
    <w:rsid w:val="002F0D52"/>
    <w:rsid w:val="002F0FB8"/>
    <w:rsid w:val="002F1586"/>
    <w:rsid w:val="002F3589"/>
    <w:rsid w:val="002F4344"/>
    <w:rsid w:val="002F5A0D"/>
    <w:rsid w:val="002F6927"/>
    <w:rsid w:val="002F73C2"/>
    <w:rsid w:val="002F7C54"/>
    <w:rsid w:val="00303252"/>
    <w:rsid w:val="0030397D"/>
    <w:rsid w:val="00307B34"/>
    <w:rsid w:val="003125B8"/>
    <w:rsid w:val="003137CA"/>
    <w:rsid w:val="00314C72"/>
    <w:rsid w:val="00315BF8"/>
    <w:rsid w:val="003175E4"/>
    <w:rsid w:val="003178DC"/>
    <w:rsid w:val="00317C7C"/>
    <w:rsid w:val="003232D2"/>
    <w:rsid w:val="00323EF6"/>
    <w:rsid w:val="003301C0"/>
    <w:rsid w:val="00331A81"/>
    <w:rsid w:val="00331D33"/>
    <w:rsid w:val="00332282"/>
    <w:rsid w:val="0033308D"/>
    <w:rsid w:val="0033389D"/>
    <w:rsid w:val="00333DB3"/>
    <w:rsid w:val="003356C2"/>
    <w:rsid w:val="003360CA"/>
    <w:rsid w:val="003400CC"/>
    <w:rsid w:val="0034081B"/>
    <w:rsid w:val="003432B4"/>
    <w:rsid w:val="00346DC2"/>
    <w:rsid w:val="00350C52"/>
    <w:rsid w:val="003517B0"/>
    <w:rsid w:val="00352A73"/>
    <w:rsid w:val="00357CE5"/>
    <w:rsid w:val="00357DC2"/>
    <w:rsid w:val="0036059C"/>
    <w:rsid w:val="00364EA4"/>
    <w:rsid w:val="003660FB"/>
    <w:rsid w:val="00366D07"/>
    <w:rsid w:val="00367127"/>
    <w:rsid w:val="00371A1B"/>
    <w:rsid w:val="003724E8"/>
    <w:rsid w:val="00373509"/>
    <w:rsid w:val="00374277"/>
    <w:rsid w:val="003746F8"/>
    <w:rsid w:val="00381444"/>
    <w:rsid w:val="00381569"/>
    <w:rsid w:val="00381AD2"/>
    <w:rsid w:val="00382668"/>
    <w:rsid w:val="00382B0C"/>
    <w:rsid w:val="003841A2"/>
    <w:rsid w:val="0038769A"/>
    <w:rsid w:val="00387A2F"/>
    <w:rsid w:val="00391CA4"/>
    <w:rsid w:val="00392D26"/>
    <w:rsid w:val="0039312E"/>
    <w:rsid w:val="00393A70"/>
    <w:rsid w:val="00394059"/>
    <w:rsid w:val="0039430C"/>
    <w:rsid w:val="003968D8"/>
    <w:rsid w:val="003A0337"/>
    <w:rsid w:val="003A1B28"/>
    <w:rsid w:val="003A2000"/>
    <w:rsid w:val="003A24F5"/>
    <w:rsid w:val="003A2F5F"/>
    <w:rsid w:val="003A35AB"/>
    <w:rsid w:val="003A79DF"/>
    <w:rsid w:val="003A7D4C"/>
    <w:rsid w:val="003B2F3C"/>
    <w:rsid w:val="003B4E47"/>
    <w:rsid w:val="003B5D47"/>
    <w:rsid w:val="003B72EB"/>
    <w:rsid w:val="003B7FD4"/>
    <w:rsid w:val="003D196F"/>
    <w:rsid w:val="003D3DED"/>
    <w:rsid w:val="003D516D"/>
    <w:rsid w:val="003D5935"/>
    <w:rsid w:val="003E048A"/>
    <w:rsid w:val="003E0B5C"/>
    <w:rsid w:val="003E2034"/>
    <w:rsid w:val="003E27D5"/>
    <w:rsid w:val="003E2BFC"/>
    <w:rsid w:val="003E3110"/>
    <w:rsid w:val="003E384C"/>
    <w:rsid w:val="003E4CF2"/>
    <w:rsid w:val="003E5A1A"/>
    <w:rsid w:val="003E7955"/>
    <w:rsid w:val="003F0A2F"/>
    <w:rsid w:val="003F2CAF"/>
    <w:rsid w:val="003F2E30"/>
    <w:rsid w:val="003F37D9"/>
    <w:rsid w:val="003F4F70"/>
    <w:rsid w:val="003F6283"/>
    <w:rsid w:val="003F6B03"/>
    <w:rsid w:val="003F74CA"/>
    <w:rsid w:val="0040187D"/>
    <w:rsid w:val="00401AAA"/>
    <w:rsid w:val="0040290E"/>
    <w:rsid w:val="00402F98"/>
    <w:rsid w:val="004049F8"/>
    <w:rsid w:val="00405402"/>
    <w:rsid w:val="00406EC0"/>
    <w:rsid w:val="00410C31"/>
    <w:rsid w:val="0041129A"/>
    <w:rsid w:val="00412137"/>
    <w:rsid w:val="004121D3"/>
    <w:rsid w:val="004143CE"/>
    <w:rsid w:val="0042133F"/>
    <w:rsid w:val="0042148B"/>
    <w:rsid w:val="004234E8"/>
    <w:rsid w:val="00424484"/>
    <w:rsid w:val="00424E69"/>
    <w:rsid w:val="00426E4A"/>
    <w:rsid w:val="00427540"/>
    <w:rsid w:val="00431DE9"/>
    <w:rsid w:val="00434E52"/>
    <w:rsid w:val="00435144"/>
    <w:rsid w:val="00440593"/>
    <w:rsid w:val="00442BFB"/>
    <w:rsid w:val="00445202"/>
    <w:rsid w:val="004539D8"/>
    <w:rsid w:val="00453ADB"/>
    <w:rsid w:val="004540C3"/>
    <w:rsid w:val="00455BD6"/>
    <w:rsid w:val="00456F79"/>
    <w:rsid w:val="00462E7E"/>
    <w:rsid w:val="00464C28"/>
    <w:rsid w:val="00466D80"/>
    <w:rsid w:val="004678FF"/>
    <w:rsid w:val="00467F04"/>
    <w:rsid w:val="00470BB4"/>
    <w:rsid w:val="00470F8C"/>
    <w:rsid w:val="004719CB"/>
    <w:rsid w:val="00471D30"/>
    <w:rsid w:val="00471DB2"/>
    <w:rsid w:val="00472066"/>
    <w:rsid w:val="00472A80"/>
    <w:rsid w:val="00474521"/>
    <w:rsid w:val="0047587B"/>
    <w:rsid w:val="00476078"/>
    <w:rsid w:val="004770A5"/>
    <w:rsid w:val="004808EC"/>
    <w:rsid w:val="00483B44"/>
    <w:rsid w:val="004860CF"/>
    <w:rsid w:val="004860DA"/>
    <w:rsid w:val="00486E8F"/>
    <w:rsid w:val="00490E5B"/>
    <w:rsid w:val="004914C4"/>
    <w:rsid w:val="00492313"/>
    <w:rsid w:val="00492C87"/>
    <w:rsid w:val="00494232"/>
    <w:rsid w:val="00494B5C"/>
    <w:rsid w:val="004A250B"/>
    <w:rsid w:val="004A43DF"/>
    <w:rsid w:val="004A4D0A"/>
    <w:rsid w:val="004A4EA7"/>
    <w:rsid w:val="004A5312"/>
    <w:rsid w:val="004A7A13"/>
    <w:rsid w:val="004B0649"/>
    <w:rsid w:val="004B2D84"/>
    <w:rsid w:val="004B3593"/>
    <w:rsid w:val="004B363E"/>
    <w:rsid w:val="004B3D5F"/>
    <w:rsid w:val="004B538D"/>
    <w:rsid w:val="004B6C60"/>
    <w:rsid w:val="004B743D"/>
    <w:rsid w:val="004C41DD"/>
    <w:rsid w:val="004C4DE5"/>
    <w:rsid w:val="004C5B37"/>
    <w:rsid w:val="004C71CB"/>
    <w:rsid w:val="004D1FD5"/>
    <w:rsid w:val="004D2A33"/>
    <w:rsid w:val="004D637E"/>
    <w:rsid w:val="004E16D0"/>
    <w:rsid w:val="004E273E"/>
    <w:rsid w:val="004E311A"/>
    <w:rsid w:val="004E3D3E"/>
    <w:rsid w:val="004E428A"/>
    <w:rsid w:val="004E61F9"/>
    <w:rsid w:val="004E71B9"/>
    <w:rsid w:val="004F2B01"/>
    <w:rsid w:val="004F3510"/>
    <w:rsid w:val="004F5DB7"/>
    <w:rsid w:val="005011C9"/>
    <w:rsid w:val="005049C4"/>
    <w:rsid w:val="00507E07"/>
    <w:rsid w:val="0051432E"/>
    <w:rsid w:val="00514330"/>
    <w:rsid w:val="005153BC"/>
    <w:rsid w:val="00516B78"/>
    <w:rsid w:val="0052079E"/>
    <w:rsid w:val="00521DA5"/>
    <w:rsid w:val="00522B68"/>
    <w:rsid w:val="005243DF"/>
    <w:rsid w:val="00526BE5"/>
    <w:rsid w:val="00530545"/>
    <w:rsid w:val="00530E1D"/>
    <w:rsid w:val="00531AD7"/>
    <w:rsid w:val="00531E3F"/>
    <w:rsid w:val="00531F8B"/>
    <w:rsid w:val="005346A7"/>
    <w:rsid w:val="00534D3A"/>
    <w:rsid w:val="00540F83"/>
    <w:rsid w:val="00541EAC"/>
    <w:rsid w:val="00543A1D"/>
    <w:rsid w:val="00544099"/>
    <w:rsid w:val="0054410F"/>
    <w:rsid w:val="005513F2"/>
    <w:rsid w:val="0055169A"/>
    <w:rsid w:val="00551C88"/>
    <w:rsid w:val="00552AC1"/>
    <w:rsid w:val="00554059"/>
    <w:rsid w:val="00560449"/>
    <w:rsid w:val="00563787"/>
    <w:rsid w:val="005638DF"/>
    <w:rsid w:val="00565476"/>
    <w:rsid w:val="00566920"/>
    <w:rsid w:val="00566C77"/>
    <w:rsid w:val="0057171B"/>
    <w:rsid w:val="005745CA"/>
    <w:rsid w:val="005759C0"/>
    <w:rsid w:val="00575EA1"/>
    <w:rsid w:val="00581995"/>
    <w:rsid w:val="0058298E"/>
    <w:rsid w:val="005838C5"/>
    <w:rsid w:val="00585147"/>
    <w:rsid w:val="005906CE"/>
    <w:rsid w:val="00590BB8"/>
    <w:rsid w:val="00595549"/>
    <w:rsid w:val="0059730B"/>
    <w:rsid w:val="00597A08"/>
    <w:rsid w:val="005A0BC6"/>
    <w:rsid w:val="005A1248"/>
    <w:rsid w:val="005A12E7"/>
    <w:rsid w:val="005A18D0"/>
    <w:rsid w:val="005A50E3"/>
    <w:rsid w:val="005A6523"/>
    <w:rsid w:val="005A6D09"/>
    <w:rsid w:val="005A781A"/>
    <w:rsid w:val="005A7B73"/>
    <w:rsid w:val="005B0624"/>
    <w:rsid w:val="005B19A5"/>
    <w:rsid w:val="005B2091"/>
    <w:rsid w:val="005B2E6D"/>
    <w:rsid w:val="005C0056"/>
    <w:rsid w:val="005C150F"/>
    <w:rsid w:val="005C1962"/>
    <w:rsid w:val="005C2AD5"/>
    <w:rsid w:val="005C32AE"/>
    <w:rsid w:val="005C599A"/>
    <w:rsid w:val="005D2B45"/>
    <w:rsid w:val="005D7B50"/>
    <w:rsid w:val="005E03BC"/>
    <w:rsid w:val="005E28BE"/>
    <w:rsid w:val="005E436A"/>
    <w:rsid w:val="005E4F21"/>
    <w:rsid w:val="005E55E0"/>
    <w:rsid w:val="005E635A"/>
    <w:rsid w:val="005E637F"/>
    <w:rsid w:val="005F1892"/>
    <w:rsid w:val="005F65A2"/>
    <w:rsid w:val="0060297D"/>
    <w:rsid w:val="0060421D"/>
    <w:rsid w:val="00610892"/>
    <w:rsid w:val="00613F30"/>
    <w:rsid w:val="006157D3"/>
    <w:rsid w:val="00620212"/>
    <w:rsid w:val="00622EF6"/>
    <w:rsid w:val="0062395F"/>
    <w:rsid w:val="00623D05"/>
    <w:rsid w:val="00624DD2"/>
    <w:rsid w:val="00626CC6"/>
    <w:rsid w:val="00626CFC"/>
    <w:rsid w:val="006274B8"/>
    <w:rsid w:val="006302BD"/>
    <w:rsid w:val="0063249F"/>
    <w:rsid w:val="0063285C"/>
    <w:rsid w:val="00637384"/>
    <w:rsid w:val="00637E3B"/>
    <w:rsid w:val="00640021"/>
    <w:rsid w:val="006426F1"/>
    <w:rsid w:val="00642B24"/>
    <w:rsid w:val="0064516D"/>
    <w:rsid w:val="00647F46"/>
    <w:rsid w:val="00647F7A"/>
    <w:rsid w:val="00650852"/>
    <w:rsid w:val="00651060"/>
    <w:rsid w:val="00653752"/>
    <w:rsid w:val="0065534E"/>
    <w:rsid w:val="006554A5"/>
    <w:rsid w:val="00655E1F"/>
    <w:rsid w:val="00655F18"/>
    <w:rsid w:val="0066412A"/>
    <w:rsid w:val="00667063"/>
    <w:rsid w:val="00667867"/>
    <w:rsid w:val="0067131E"/>
    <w:rsid w:val="00671FED"/>
    <w:rsid w:val="006743DC"/>
    <w:rsid w:val="00675077"/>
    <w:rsid w:val="006779E4"/>
    <w:rsid w:val="00685085"/>
    <w:rsid w:val="0068545E"/>
    <w:rsid w:val="00685E14"/>
    <w:rsid w:val="0069284C"/>
    <w:rsid w:val="006928D0"/>
    <w:rsid w:val="00695324"/>
    <w:rsid w:val="00697357"/>
    <w:rsid w:val="006976AF"/>
    <w:rsid w:val="006A010C"/>
    <w:rsid w:val="006A2BCD"/>
    <w:rsid w:val="006A4457"/>
    <w:rsid w:val="006A4988"/>
    <w:rsid w:val="006A4F6C"/>
    <w:rsid w:val="006A511A"/>
    <w:rsid w:val="006A64B6"/>
    <w:rsid w:val="006B00BD"/>
    <w:rsid w:val="006B02AB"/>
    <w:rsid w:val="006B0ED2"/>
    <w:rsid w:val="006B130F"/>
    <w:rsid w:val="006B2B6E"/>
    <w:rsid w:val="006B3361"/>
    <w:rsid w:val="006B3899"/>
    <w:rsid w:val="006B59EF"/>
    <w:rsid w:val="006B677F"/>
    <w:rsid w:val="006C0F10"/>
    <w:rsid w:val="006C2679"/>
    <w:rsid w:val="006C272A"/>
    <w:rsid w:val="006C2A5E"/>
    <w:rsid w:val="006C31C0"/>
    <w:rsid w:val="006C5F6B"/>
    <w:rsid w:val="006D02FC"/>
    <w:rsid w:val="006D1349"/>
    <w:rsid w:val="006D14AF"/>
    <w:rsid w:val="006D4DEC"/>
    <w:rsid w:val="006D5419"/>
    <w:rsid w:val="006E0777"/>
    <w:rsid w:val="006E101A"/>
    <w:rsid w:val="006E137C"/>
    <w:rsid w:val="006E2728"/>
    <w:rsid w:val="006E3270"/>
    <w:rsid w:val="006E36FD"/>
    <w:rsid w:val="006E3EE5"/>
    <w:rsid w:val="006E7FE4"/>
    <w:rsid w:val="006F02EB"/>
    <w:rsid w:val="006F0A6A"/>
    <w:rsid w:val="006F68EF"/>
    <w:rsid w:val="007027C8"/>
    <w:rsid w:val="00704082"/>
    <w:rsid w:val="007040C5"/>
    <w:rsid w:val="00705A4E"/>
    <w:rsid w:val="00707B53"/>
    <w:rsid w:val="00707FDF"/>
    <w:rsid w:val="00710331"/>
    <w:rsid w:val="00711889"/>
    <w:rsid w:val="00712345"/>
    <w:rsid w:val="00713BE9"/>
    <w:rsid w:val="00714019"/>
    <w:rsid w:val="007225C6"/>
    <w:rsid w:val="00724BF6"/>
    <w:rsid w:val="00725CE3"/>
    <w:rsid w:val="00726F4D"/>
    <w:rsid w:val="00730F28"/>
    <w:rsid w:val="007339C4"/>
    <w:rsid w:val="007345F8"/>
    <w:rsid w:val="00735B04"/>
    <w:rsid w:val="00737B30"/>
    <w:rsid w:val="00741D65"/>
    <w:rsid w:val="00742514"/>
    <w:rsid w:val="00742595"/>
    <w:rsid w:val="00742FDB"/>
    <w:rsid w:val="00743AC7"/>
    <w:rsid w:val="00744952"/>
    <w:rsid w:val="007460A0"/>
    <w:rsid w:val="00752D5F"/>
    <w:rsid w:val="00752EFC"/>
    <w:rsid w:val="00754AF2"/>
    <w:rsid w:val="00755508"/>
    <w:rsid w:val="007574FE"/>
    <w:rsid w:val="00757933"/>
    <w:rsid w:val="00776B2A"/>
    <w:rsid w:val="0078117B"/>
    <w:rsid w:val="007830F3"/>
    <w:rsid w:val="00783749"/>
    <w:rsid w:val="00784DB9"/>
    <w:rsid w:val="00785CCC"/>
    <w:rsid w:val="00785E36"/>
    <w:rsid w:val="007870D5"/>
    <w:rsid w:val="00787807"/>
    <w:rsid w:val="007906A6"/>
    <w:rsid w:val="00790AE2"/>
    <w:rsid w:val="00792019"/>
    <w:rsid w:val="00792F3E"/>
    <w:rsid w:val="00793707"/>
    <w:rsid w:val="00794BCC"/>
    <w:rsid w:val="00796249"/>
    <w:rsid w:val="007A0FCD"/>
    <w:rsid w:val="007A2B07"/>
    <w:rsid w:val="007A2B87"/>
    <w:rsid w:val="007A5A86"/>
    <w:rsid w:val="007A6555"/>
    <w:rsid w:val="007A66C8"/>
    <w:rsid w:val="007B0F4F"/>
    <w:rsid w:val="007B141F"/>
    <w:rsid w:val="007B1788"/>
    <w:rsid w:val="007B2776"/>
    <w:rsid w:val="007B281C"/>
    <w:rsid w:val="007B55D0"/>
    <w:rsid w:val="007B60E6"/>
    <w:rsid w:val="007B6C58"/>
    <w:rsid w:val="007B7E1E"/>
    <w:rsid w:val="007C123F"/>
    <w:rsid w:val="007C2455"/>
    <w:rsid w:val="007C5A61"/>
    <w:rsid w:val="007C7079"/>
    <w:rsid w:val="007C71F9"/>
    <w:rsid w:val="007C74D6"/>
    <w:rsid w:val="007D0DA7"/>
    <w:rsid w:val="007D1897"/>
    <w:rsid w:val="007D2269"/>
    <w:rsid w:val="007D267E"/>
    <w:rsid w:val="007D28D2"/>
    <w:rsid w:val="007D3964"/>
    <w:rsid w:val="007D58F5"/>
    <w:rsid w:val="007D73B2"/>
    <w:rsid w:val="007E03D8"/>
    <w:rsid w:val="007E0886"/>
    <w:rsid w:val="007E2F59"/>
    <w:rsid w:val="007E3A24"/>
    <w:rsid w:val="007E3E39"/>
    <w:rsid w:val="007E6F5B"/>
    <w:rsid w:val="007F047F"/>
    <w:rsid w:val="007F4C8C"/>
    <w:rsid w:val="007F68AE"/>
    <w:rsid w:val="007F6AC3"/>
    <w:rsid w:val="007F6FBE"/>
    <w:rsid w:val="008008D2"/>
    <w:rsid w:val="0080294F"/>
    <w:rsid w:val="008034D3"/>
    <w:rsid w:val="0080431B"/>
    <w:rsid w:val="008047DD"/>
    <w:rsid w:val="00804961"/>
    <w:rsid w:val="00805D6E"/>
    <w:rsid w:val="00810332"/>
    <w:rsid w:val="00810D58"/>
    <w:rsid w:val="008112BE"/>
    <w:rsid w:val="00814D41"/>
    <w:rsid w:val="00815A8F"/>
    <w:rsid w:val="0082124D"/>
    <w:rsid w:val="008248FC"/>
    <w:rsid w:val="008266A8"/>
    <w:rsid w:val="0083055A"/>
    <w:rsid w:val="00833A10"/>
    <w:rsid w:val="008370BE"/>
    <w:rsid w:val="00840C3D"/>
    <w:rsid w:val="008432C6"/>
    <w:rsid w:val="00843ECD"/>
    <w:rsid w:val="0084604A"/>
    <w:rsid w:val="00847234"/>
    <w:rsid w:val="0085146C"/>
    <w:rsid w:val="00852A16"/>
    <w:rsid w:val="00854129"/>
    <w:rsid w:val="008554B9"/>
    <w:rsid w:val="00855B9E"/>
    <w:rsid w:val="00856ED5"/>
    <w:rsid w:val="008572F9"/>
    <w:rsid w:val="00860052"/>
    <w:rsid w:val="00861CEA"/>
    <w:rsid w:val="00861D28"/>
    <w:rsid w:val="00864261"/>
    <w:rsid w:val="00865BCF"/>
    <w:rsid w:val="008660F5"/>
    <w:rsid w:val="0087517A"/>
    <w:rsid w:val="00875728"/>
    <w:rsid w:val="00876ABB"/>
    <w:rsid w:val="0087757E"/>
    <w:rsid w:val="00880788"/>
    <w:rsid w:val="00882AB6"/>
    <w:rsid w:val="008831E0"/>
    <w:rsid w:val="00884FF1"/>
    <w:rsid w:val="00887DA9"/>
    <w:rsid w:val="008926C2"/>
    <w:rsid w:val="0089553C"/>
    <w:rsid w:val="008963F4"/>
    <w:rsid w:val="008A0A63"/>
    <w:rsid w:val="008A2E01"/>
    <w:rsid w:val="008A3AB9"/>
    <w:rsid w:val="008A6B5D"/>
    <w:rsid w:val="008A7CC5"/>
    <w:rsid w:val="008B05AC"/>
    <w:rsid w:val="008B2927"/>
    <w:rsid w:val="008B7BFC"/>
    <w:rsid w:val="008C3366"/>
    <w:rsid w:val="008C4DC8"/>
    <w:rsid w:val="008C5834"/>
    <w:rsid w:val="008D113F"/>
    <w:rsid w:val="008D3DE1"/>
    <w:rsid w:val="008D62D8"/>
    <w:rsid w:val="008E01A2"/>
    <w:rsid w:val="008E16D0"/>
    <w:rsid w:val="008E1F48"/>
    <w:rsid w:val="008E71D0"/>
    <w:rsid w:val="008F52F0"/>
    <w:rsid w:val="008F591E"/>
    <w:rsid w:val="009005BD"/>
    <w:rsid w:val="00901323"/>
    <w:rsid w:val="00902602"/>
    <w:rsid w:val="00903644"/>
    <w:rsid w:val="00903947"/>
    <w:rsid w:val="00903CD6"/>
    <w:rsid w:val="00905979"/>
    <w:rsid w:val="0090613A"/>
    <w:rsid w:val="009074D0"/>
    <w:rsid w:val="009144FB"/>
    <w:rsid w:val="00914EEF"/>
    <w:rsid w:val="0091540E"/>
    <w:rsid w:val="00915C30"/>
    <w:rsid w:val="0091646B"/>
    <w:rsid w:val="00920200"/>
    <w:rsid w:val="009220D1"/>
    <w:rsid w:val="009237C7"/>
    <w:rsid w:val="00923814"/>
    <w:rsid w:val="00924BC8"/>
    <w:rsid w:val="009256F7"/>
    <w:rsid w:val="009342F5"/>
    <w:rsid w:val="0093443A"/>
    <w:rsid w:val="00935F71"/>
    <w:rsid w:val="009364F1"/>
    <w:rsid w:val="00937060"/>
    <w:rsid w:val="00940A35"/>
    <w:rsid w:val="00942B30"/>
    <w:rsid w:val="0094309D"/>
    <w:rsid w:val="00943B68"/>
    <w:rsid w:val="0095037C"/>
    <w:rsid w:val="00950E59"/>
    <w:rsid w:val="00956D45"/>
    <w:rsid w:val="0095778B"/>
    <w:rsid w:val="009659A4"/>
    <w:rsid w:val="0096630F"/>
    <w:rsid w:val="00970424"/>
    <w:rsid w:val="009708BA"/>
    <w:rsid w:val="00971BDF"/>
    <w:rsid w:val="00971EFA"/>
    <w:rsid w:val="009750E7"/>
    <w:rsid w:val="00975A76"/>
    <w:rsid w:val="0098150C"/>
    <w:rsid w:val="009858D6"/>
    <w:rsid w:val="00986EB0"/>
    <w:rsid w:val="00991200"/>
    <w:rsid w:val="00996E12"/>
    <w:rsid w:val="009A019C"/>
    <w:rsid w:val="009A1A6F"/>
    <w:rsid w:val="009A33CA"/>
    <w:rsid w:val="009A4EC9"/>
    <w:rsid w:val="009A62C5"/>
    <w:rsid w:val="009B2AE3"/>
    <w:rsid w:val="009B2E8A"/>
    <w:rsid w:val="009B3C61"/>
    <w:rsid w:val="009B4AE2"/>
    <w:rsid w:val="009C034B"/>
    <w:rsid w:val="009C149E"/>
    <w:rsid w:val="009C3A06"/>
    <w:rsid w:val="009C3F85"/>
    <w:rsid w:val="009C4180"/>
    <w:rsid w:val="009C58F1"/>
    <w:rsid w:val="009C59FA"/>
    <w:rsid w:val="009C5F0B"/>
    <w:rsid w:val="009D244A"/>
    <w:rsid w:val="009D56B4"/>
    <w:rsid w:val="009D5D31"/>
    <w:rsid w:val="009E25A6"/>
    <w:rsid w:val="009E4FD5"/>
    <w:rsid w:val="009E7A37"/>
    <w:rsid w:val="009F2546"/>
    <w:rsid w:val="009F291A"/>
    <w:rsid w:val="009F2AA1"/>
    <w:rsid w:val="009F2EEB"/>
    <w:rsid w:val="009F3885"/>
    <w:rsid w:val="009F3BEB"/>
    <w:rsid w:val="009F568F"/>
    <w:rsid w:val="009F6CC9"/>
    <w:rsid w:val="00A00160"/>
    <w:rsid w:val="00A00D9C"/>
    <w:rsid w:val="00A0235D"/>
    <w:rsid w:val="00A04818"/>
    <w:rsid w:val="00A0524F"/>
    <w:rsid w:val="00A06910"/>
    <w:rsid w:val="00A10CAE"/>
    <w:rsid w:val="00A1108A"/>
    <w:rsid w:val="00A11C52"/>
    <w:rsid w:val="00A1699D"/>
    <w:rsid w:val="00A16ECE"/>
    <w:rsid w:val="00A20D8A"/>
    <w:rsid w:val="00A21273"/>
    <w:rsid w:val="00A247AA"/>
    <w:rsid w:val="00A26B53"/>
    <w:rsid w:val="00A31BAB"/>
    <w:rsid w:val="00A32EC2"/>
    <w:rsid w:val="00A3497B"/>
    <w:rsid w:val="00A42CA3"/>
    <w:rsid w:val="00A42EA6"/>
    <w:rsid w:val="00A446FF"/>
    <w:rsid w:val="00A44FF5"/>
    <w:rsid w:val="00A528E2"/>
    <w:rsid w:val="00A539F6"/>
    <w:rsid w:val="00A54576"/>
    <w:rsid w:val="00A54D47"/>
    <w:rsid w:val="00A56734"/>
    <w:rsid w:val="00A570DE"/>
    <w:rsid w:val="00A572A2"/>
    <w:rsid w:val="00A6010C"/>
    <w:rsid w:val="00A613A3"/>
    <w:rsid w:val="00A6524F"/>
    <w:rsid w:val="00A65BFA"/>
    <w:rsid w:val="00A71DC6"/>
    <w:rsid w:val="00A72DE3"/>
    <w:rsid w:val="00A73048"/>
    <w:rsid w:val="00A7344F"/>
    <w:rsid w:val="00A73F3D"/>
    <w:rsid w:val="00A74599"/>
    <w:rsid w:val="00A74D19"/>
    <w:rsid w:val="00A80022"/>
    <w:rsid w:val="00A81A9C"/>
    <w:rsid w:val="00A820AC"/>
    <w:rsid w:val="00A857E3"/>
    <w:rsid w:val="00A8624A"/>
    <w:rsid w:val="00A957E5"/>
    <w:rsid w:val="00A95AAB"/>
    <w:rsid w:val="00A95CB7"/>
    <w:rsid w:val="00A96114"/>
    <w:rsid w:val="00A963CD"/>
    <w:rsid w:val="00A97053"/>
    <w:rsid w:val="00AA1F39"/>
    <w:rsid w:val="00AA2FA2"/>
    <w:rsid w:val="00AA3FCD"/>
    <w:rsid w:val="00AA5594"/>
    <w:rsid w:val="00AA74CD"/>
    <w:rsid w:val="00AB10B2"/>
    <w:rsid w:val="00AB120C"/>
    <w:rsid w:val="00AB1D4A"/>
    <w:rsid w:val="00AB2A72"/>
    <w:rsid w:val="00AB5738"/>
    <w:rsid w:val="00AC01C0"/>
    <w:rsid w:val="00AC077E"/>
    <w:rsid w:val="00AC29DD"/>
    <w:rsid w:val="00AC4821"/>
    <w:rsid w:val="00AC6EF9"/>
    <w:rsid w:val="00AC72BC"/>
    <w:rsid w:val="00AD0276"/>
    <w:rsid w:val="00AD0FC5"/>
    <w:rsid w:val="00AD1F65"/>
    <w:rsid w:val="00AD422F"/>
    <w:rsid w:val="00AD4E2D"/>
    <w:rsid w:val="00AD5916"/>
    <w:rsid w:val="00AD666B"/>
    <w:rsid w:val="00AD6A52"/>
    <w:rsid w:val="00AD6C25"/>
    <w:rsid w:val="00AD7BF1"/>
    <w:rsid w:val="00AE0566"/>
    <w:rsid w:val="00AE1102"/>
    <w:rsid w:val="00AE48E1"/>
    <w:rsid w:val="00AE4FEC"/>
    <w:rsid w:val="00AE57A4"/>
    <w:rsid w:val="00AE5F22"/>
    <w:rsid w:val="00AF20CF"/>
    <w:rsid w:val="00AF4691"/>
    <w:rsid w:val="00AF46D5"/>
    <w:rsid w:val="00AF52C9"/>
    <w:rsid w:val="00AF6864"/>
    <w:rsid w:val="00AF7017"/>
    <w:rsid w:val="00B01790"/>
    <w:rsid w:val="00B057BC"/>
    <w:rsid w:val="00B064EC"/>
    <w:rsid w:val="00B069FB"/>
    <w:rsid w:val="00B07537"/>
    <w:rsid w:val="00B10052"/>
    <w:rsid w:val="00B12EFF"/>
    <w:rsid w:val="00B14149"/>
    <w:rsid w:val="00B15C9B"/>
    <w:rsid w:val="00B17401"/>
    <w:rsid w:val="00B21EFE"/>
    <w:rsid w:val="00B221F3"/>
    <w:rsid w:val="00B239CC"/>
    <w:rsid w:val="00B26E25"/>
    <w:rsid w:val="00B27484"/>
    <w:rsid w:val="00B27BD6"/>
    <w:rsid w:val="00B3025C"/>
    <w:rsid w:val="00B307AD"/>
    <w:rsid w:val="00B30C63"/>
    <w:rsid w:val="00B315E7"/>
    <w:rsid w:val="00B316D0"/>
    <w:rsid w:val="00B32B1A"/>
    <w:rsid w:val="00B32D0A"/>
    <w:rsid w:val="00B33713"/>
    <w:rsid w:val="00B41E26"/>
    <w:rsid w:val="00B42A8D"/>
    <w:rsid w:val="00B43CEC"/>
    <w:rsid w:val="00B44D39"/>
    <w:rsid w:val="00B47B70"/>
    <w:rsid w:val="00B505EB"/>
    <w:rsid w:val="00B51607"/>
    <w:rsid w:val="00B56048"/>
    <w:rsid w:val="00B60A0F"/>
    <w:rsid w:val="00B60B96"/>
    <w:rsid w:val="00B7009E"/>
    <w:rsid w:val="00B70D1B"/>
    <w:rsid w:val="00B7384A"/>
    <w:rsid w:val="00B75EA5"/>
    <w:rsid w:val="00B7634E"/>
    <w:rsid w:val="00B81139"/>
    <w:rsid w:val="00B819F6"/>
    <w:rsid w:val="00B81EAA"/>
    <w:rsid w:val="00B83C34"/>
    <w:rsid w:val="00B87486"/>
    <w:rsid w:val="00B905C7"/>
    <w:rsid w:val="00B90733"/>
    <w:rsid w:val="00B95871"/>
    <w:rsid w:val="00BA0B8A"/>
    <w:rsid w:val="00BA3680"/>
    <w:rsid w:val="00BA3E38"/>
    <w:rsid w:val="00BA5557"/>
    <w:rsid w:val="00BB0320"/>
    <w:rsid w:val="00BB0769"/>
    <w:rsid w:val="00BB34F0"/>
    <w:rsid w:val="00BB35E0"/>
    <w:rsid w:val="00BB3B4C"/>
    <w:rsid w:val="00BB4EC7"/>
    <w:rsid w:val="00BB6CE1"/>
    <w:rsid w:val="00BB76BB"/>
    <w:rsid w:val="00BC0D2A"/>
    <w:rsid w:val="00BC17EA"/>
    <w:rsid w:val="00BC18D5"/>
    <w:rsid w:val="00BC2C4F"/>
    <w:rsid w:val="00BC77CE"/>
    <w:rsid w:val="00BD1557"/>
    <w:rsid w:val="00BD207B"/>
    <w:rsid w:val="00BD4466"/>
    <w:rsid w:val="00BD636E"/>
    <w:rsid w:val="00BE1303"/>
    <w:rsid w:val="00BE64BD"/>
    <w:rsid w:val="00BF076C"/>
    <w:rsid w:val="00BF1905"/>
    <w:rsid w:val="00BF1B88"/>
    <w:rsid w:val="00BF27DB"/>
    <w:rsid w:val="00BF2F43"/>
    <w:rsid w:val="00BF31A7"/>
    <w:rsid w:val="00BF3CAA"/>
    <w:rsid w:val="00BF525F"/>
    <w:rsid w:val="00BF5E80"/>
    <w:rsid w:val="00BF66F9"/>
    <w:rsid w:val="00BF6BF8"/>
    <w:rsid w:val="00BF6C3E"/>
    <w:rsid w:val="00BF7D47"/>
    <w:rsid w:val="00C00CF4"/>
    <w:rsid w:val="00C038E1"/>
    <w:rsid w:val="00C06650"/>
    <w:rsid w:val="00C074C8"/>
    <w:rsid w:val="00C1139B"/>
    <w:rsid w:val="00C124A6"/>
    <w:rsid w:val="00C13E5E"/>
    <w:rsid w:val="00C15C2D"/>
    <w:rsid w:val="00C17ADD"/>
    <w:rsid w:val="00C20030"/>
    <w:rsid w:val="00C215AA"/>
    <w:rsid w:val="00C2731D"/>
    <w:rsid w:val="00C276C3"/>
    <w:rsid w:val="00C305CC"/>
    <w:rsid w:val="00C309A4"/>
    <w:rsid w:val="00C30E25"/>
    <w:rsid w:val="00C31775"/>
    <w:rsid w:val="00C342D3"/>
    <w:rsid w:val="00C36222"/>
    <w:rsid w:val="00C37748"/>
    <w:rsid w:val="00C379C9"/>
    <w:rsid w:val="00C40125"/>
    <w:rsid w:val="00C408AA"/>
    <w:rsid w:val="00C40C86"/>
    <w:rsid w:val="00C41F66"/>
    <w:rsid w:val="00C433F3"/>
    <w:rsid w:val="00C44B22"/>
    <w:rsid w:val="00C453D6"/>
    <w:rsid w:val="00C462F1"/>
    <w:rsid w:val="00C46E27"/>
    <w:rsid w:val="00C52398"/>
    <w:rsid w:val="00C53465"/>
    <w:rsid w:val="00C535D5"/>
    <w:rsid w:val="00C552F2"/>
    <w:rsid w:val="00C55D0D"/>
    <w:rsid w:val="00C60F67"/>
    <w:rsid w:val="00C6251A"/>
    <w:rsid w:val="00C63EAC"/>
    <w:rsid w:val="00C657B8"/>
    <w:rsid w:val="00C65E9F"/>
    <w:rsid w:val="00C66537"/>
    <w:rsid w:val="00C666D4"/>
    <w:rsid w:val="00C66C95"/>
    <w:rsid w:val="00C67EF7"/>
    <w:rsid w:val="00C67F0F"/>
    <w:rsid w:val="00C714B2"/>
    <w:rsid w:val="00C71A3D"/>
    <w:rsid w:val="00C72301"/>
    <w:rsid w:val="00C72517"/>
    <w:rsid w:val="00C7269B"/>
    <w:rsid w:val="00C74328"/>
    <w:rsid w:val="00C75F96"/>
    <w:rsid w:val="00C76C14"/>
    <w:rsid w:val="00C803ED"/>
    <w:rsid w:val="00C81B8D"/>
    <w:rsid w:val="00C82466"/>
    <w:rsid w:val="00C83501"/>
    <w:rsid w:val="00C837CB"/>
    <w:rsid w:val="00C847D6"/>
    <w:rsid w:val="00C905D2"/>
    <w:rsid w:val="00C91B04"/>
    <w:rsid w:val="00C92170"/>
    <w:rsid w:val="00C9235D"/>
    <w:rsid w:val="00C9275D"/>
    <w:rsid w:val="00C933DB"/>
    <w:rsid w:val="00C95249"/>
    <w:rsid w:val="00C9579C"/>
    <w:rsid w:val="00C957A2"/>
    <w:rsid w:val="00CA047C"/>
    <w:rsid w:val="00CA1496"/>
    <w:rsid w:val="00CA1EF5"/>
    <w:rsid w:val="00CA3A38"/>
    <w:rsid w:val="00CA3FF5"/>
    <w:rsid w:val="00CB05E0"/>
    <w:rsid w:val="00CB1188"/>
    <w:rsid w:val="00CB6898"/>
    <w:rsid w:val="00CB71D1"/>
    <w:rsid w:val="00CC3278"/>
    <w:rsid w:val="00CC3ED8"/>
    <w:rsid w:val="00CC489D"/>
    <w:rsid w:val="00CC60D9"/>
    <w:rsid w:val="00CD2F57"/>
    <w:rsid w:val="00CD319B"/>
    <w:rsid w:val="00CD6939"/>
    <w:rsid w:val="00CD7D39"/>
    <w:rsid w:val="00CE106A"/>
    <w:rsid w:val="00CE2DBA"/>
    <w:rsid w:val="00CE3535"/>
    <w:rsid w:val="00CE4421"/>
    <w:rsid w:val="00CE4A7D"/>
    <w:rsid w:val="00CE7CE4"/>
    <w:rsid w:val="00CF0B7A"/>
    <w:rsid w:val="00CF39F2"/>
    <w:rsid w:val="00CF5245"/>
    <w:rsid w:val="00CF63CD"/>
    <w:rsid w:val="00CF6B73"/>
    <w:rsid w:val="00CF7E32"/>
    <w:rsid w:val="00D02365"/>
    <w:rsid w:val="00D0252C"/>
    <w:rsid w:val="00D02F19"/>
    <w:rsid w:val="00D03F0B"/>
    <w:rsid w:val="00D05AA9"/>
    <w:rsid w:val="00D07A39"/>
    <w:rsid w:val="00D1063C"/>
    <w:rsid w:val="00D114FA"/>
    <w:rsid w:val="00D12102"/>
    <w:rsid w:val="00D137FF"/>
    <w:rsid w:val="00D155E6"/>
    <w:rsid w:val="00D15F58"/>
    <w:rsid w:val="00D178E1"/>
    <w:rsid w:val="00D234E5"/>
    <w:rsid w:val="00D243DD"/>
    <w:rsid w:val="00D24774"/>
    <w:rsid w:val="00D26984"/>
    <w:rsid w:val="00D34932"/>
    <w:rsid w:val="00D34EA3"/>
    <w:rsid w:val="00D36046"/>
    <w:rsid w:val="00D37ABE"/>
    <w:rsid w:val="00D41CF4"/>
    <w:rsid w:val="00D42B49"/>
    <w:rsid w:val="00D4315A"/>
    <w:rsid w:val="00D43A6A"/>
    <w:rsid w:val="00D44379"/>
    <w:rsid w:val="00D45BC9"/>
    <w:rsid w:val="00D46392"/>
    <w:rsid w:val="00D50030"/>
    <w:rsid w:val="00D50E58"/>
    <w:rsid w:val="00D510C1"/>
    <w:rsid w:val="00D6098A"/>
    <w:rsid w:val="00D612B9"/>
    <w:rsid w:val="00D62734"/>
    <w:rsid w:val="00D6332B"/>
    <w:rsid w:val="00D63B43"/>
    <w:rsid w:val="00D654A8"/>
    <w:rsid w:val="00D655D2"/>
    <w:rsid w:val="00D66ADE"/>
    <w:rsid w:val="00D67E49"/>
    <w:rsid w:val="00D70E1C"/>
    <w:rsid w:val="00D71053"/>
    <w:rsid w:val="00D7381B"/>
    <w:rsid w:val="00D73EC7"/>
    <w:rsid w:val="00D740DA"/>
    <w:rsid w:val="00D845A0"/>
    <w:rsid w:val="00D84EF8"/>
    <w:rsid w:val="00D85193"/>
    <w:rsid w:val="00D86857"/>
    <w:rsid w:val="00D87442"/>
    <w:rsid w:val="00D91AFC"/>
    <w:rsid w:val="00D91E11"/>
    <w:rsid w:val="00D91F83"/>
    <w:rsid w:val="00DA499C"/>
    <w:rsid w:val="00DA6613"/>
    <w:rsid w:val="00DA74C4"/>
    <w:rsid w:val="00DA7795"/>
    <w:rsid w:val="00DB0D5C"/>
    <w:rsid w:val="00DB1ED7"/>
    <w:rsid w:val="00DB38CC"/>
    <w:rsid w:val="00DB3956"/>
    <w:rsid w:val="00DB4EC4"/>
    <w:rsid w:val="00DB4EED"/>
    <w:rsid w:val="00DB74CB"/>
    <w:rsid w:val="00DB7538"/>
    <w:rsid w:val="00DB76BE"/>
    <w:rsid w:val="00DC3125"/>
    <w:rsid w:val="00DC3BA9"/>
    <w:rsid w:val="00DC4417"/>
    <w:rsid w:val="00DC529F"/>
    <w:rsid w:val="00DC6172"/>
    <w:rsid w:val="00DC797D"/>
    <w:rsid w:val="00DC7DF3"/>
    <w:rsid w:val="00DD0848"/>
    <w:rsid w:val="00DD0949"/>
    <w:rsid w:val="00DD0A55"/>
    <w:rsid w:val="00DD28C5"/>
    <w:rsid w:val="00DD3805"/>
    <w:rsid w:val="00DD4FD6"/>
    <w:rsid w:val="00DE275F"/>
    <w:rsid w:val="00DE401B"/>
    <w:rsid w:val="00DE792D"/>
    <w:rsid w:val="00DE7B6A"/>
    <w:rsid w:val="00DE7FF1"/>
    <w:rsid w:val="00DF019E"/>
    <w:rsid w:val="00DF0BF6"/>
    <w:rsid w:val="00DF1E88"/>
    <w:rsid w:val="00DF2EA3"/>
    <w:rsid w:val="00DF62ED"/>
    <w:rsid w:val="00DF6FAC"/>
    <w:rsid w:val="00E01F83"/>
    <w:rsid w:val="00E0237F"/>
    <w:rsid w:val="00E033E1"/>
    <w:rsid w:val="00E06099"/>
    <w:rsid w:val="00E10276"/>
    <w:rsid w:val="00E134F2"/>
    <w:rsid w:val="00E1583C"/>
    <w:rsid w:val="00E161B4"/>
    <w:rsid w:val="00E16A6C"/>
    <w:rsid w:val="00E17913"/>
    <w:rsid w:val="00E22166"/>
    <w:rsid w:val="00E22C8C"/>
    <w:rsid w:val="00E22FF4"/>
    <w:rsid w:val="00E26466"/>
    <w:rsid w:val="00E2749C"/>
    <w:rsid w:val="00E27E6B"/>
    <w:rsid w:val="00E30750"/>
    <w:rsid w:val="00E315A1"/>
    <w:rsid w:val="00E31D1F"/>
    <w:rsid w:val="00E3351C"/>
    <w:rsid w:val="00E34058"/>
    <w:rsid w:val="00E35280"/>
    <w:rsid w:val="00E355C3"/>
    <w:rsid w:val="00E36FB1"/>
    <w:rsid w:val="00E37A6D"/>
    <w:rsid w:val="00E40743"/>
    <w:rsid w:val="00E40C57"/>
    <w:rsid w:val="00E41EA6"/>
    <w:rsid w:val="00E41EB2"/>
    <w:rsid w:val="00E42126"/>
    <w:rsid w:val="00E42629"/>
    <w:rsid w:val="00E42EA9"/>
    <w:rsid w:val="00E46921"/>
    <w:rsid w:val="00E519D4"/>
    <w:rsid w:val="00E5307F"/>
    <w:rsid w:val="00E628EC"/>
    <w:rsid w:val="00E65089"/>
    <w:rsid w:val="00E650A9"/>
    <w:rsid w:val="00E66731"/>
    <w:rsid w:val="00E67147"/>
    <w:rsid w:val="00E67E75"/>
    <w:rsid w:val="00E70F39"/>
    <w:rsid w:val="00E72689"/>
    <w:rsid w:val="00E731BF"/>
    <w:rsid w:val="00E74F3B"/>
    <w:rsid w:val="00E76BED"/>
    <w:rsid w:val="00E76FCB"/>
    <w:rsid w:val="00E7733C"/>
    <w:rsid w:val="00E773C4"/>
    <w:rsid w:val="00E77A3F"/>
    <w:rsid w:val="00E801C6"/>
    <w:rsid w:val="00E80D24"/>
    <w:rsid w:val="00E82192"/>
    <w:rsid w:val="00E836BC"/>
    <w:rsid w:val="00E83C73"/>
    <w:rsid w:val="00E869DA"/>
    <w:rsid w:val="00E87344"/>
    <w:rsid w:val="00E87FD0"/>
    <w:rsid w:val="00E9233E"/>
    <w:rsid w:val="00E93393"/>
    <w:rsid w:val="00E93483"/>
    <w:rsid w:val="00E9365E"/>
    <w:rsid w:val="00E941CF"/>
    <w:rsid w:val="00E95438"/>
    <w:rsid w:val="00E95BAD"/>
    <w:rsid w:val="00EA0DE4"/>
    <w:rsid w:val="00EA4126"/>
    <w:rsid w:val="00EA4A3F"/>
    <w:rsid w:val="00EB5AF3"/>
    <w:rsid w:val="00EB6853"/>
    <w:rsid w:val="00EB76C2"/>
    <w:rsid w:val="00EC0364"/>
    <w:rsid w:val="00EC2614"/>
    <w:rsid w:val="00EC334E"/>
    <w:rsid w:val="00EC3EAF"/>
    <w:rsid w:val="00EC5A54"/>
    <w:rsid w:val="00EC7B4C"/>
    <w:rsid w:val="00EC7E95"/>
    <w:rsid w:val="00ED04C8"/>
    <w:rsid w:val="00ED06D6"/>
    <w:rsid w:val="00ED1C56"/>
    <w:rsid w:val="00ED29F0"/>
    <w:rsid w:val="00ED413B"/>
    <w:rsid w:val="00ED5077"/>
    <w:rsid w:val="00ED6DF5"/>
    <w:rsid w:val="00ED6FDE"/>
    <w:rsid w:val="00ED74E8"/>
    <w:rsid w:val="00EE1AAD"/>
    <w:rsid w:val="00EE37D5"/>
    <w:rsid w:val="00EE53DC"/>
    <w:rsid w:val="00EE5956"/>
    <w:rsid w:val="00EE772E"/>
    <w:rsid w:val="00EF04B1"/>
    <w:rsid w:val="00EF49E9"/>
    <w:rsid w:val="00EF6564"/>
    <w:rsid w:val="00EF673B"/>
    <w:rsid w:val="00EF6807"/>
    <w:rsid w:val="00EF69C8"/>
    <w:rsid w:val="00F04025"/>
    <w:rsid w:val="00F0493E"/>
    <w:rsid w:val="00F1268F"/>
    <w:rsid w:val="00F13F70"/>
    <w:rsid w:val="00F14AB4"/>
    <w:rsid w:val="00F1642C"/>
    <w:rsid w:val="00F171E9"/>
    <w:rsid w:val="00F22247"/>
    <w:rsid w:val="00F222C7"/>
    <w:rsid w:val="00F22F65"/>
    <w:rsid w:val="00F232DC"/>
    <w:rsid w:val="00F23A24"/>
    <w:rsid w:val="00F25F05"/>
    <w:rsid w:val="00F26E57"/>
    <w:rsid w:val="00F2776E"/>
    <w:rsid w:val="00F30966"/>
    <w:rsid w:val="00F30FFF"/>
    <w:rsid w:val="00F317F8"/>
    <w:rsid w:val="00F32D1A"/>
    <w:rsid w:val="00F34780"/>
    <w:rsid w:val="00F3719F"/>
    <w:rsid w:val="00F4102C"/>
    <w:rsid w:val="00F416F6"/>
    <w:rsid w:val="00F421C2"/>
    <w:rsid w:val="00F4240B"/>
    <w:rsid w:val="00F4355C"/>
    <w:rsid w:val="00F45FB1"/>
    <w:rsid w:val="00F50007"/>
    <w:rsid w:val="00F5005D"/>
    <w:rsid w:val="00F52886"/>
    <w:rsid w:val="00F52BE6"/>
    <w:rsid w:val="00F54EDF"/>
    <w:rsid w:val="00F611D4"/>
    <w:rsid w:val="00F62B2B"/>
    <w:rsid w:val="00F62D85"/>
    <w:rsid w:val="00F63399"/>
    <w:rsid w:val="00F64282"/>
    <w:rsid w:val="00F6492E"/>
    <w:rsid w:val="00F64C50"/>
    <w:rsid w:val="00F65565"/>
    <w:rsid w:val="00F6574B"/>
    <w:rsid w:val="00F6748B"/>
    <w:rsid w:val="00F72A8C"/>
    <w:rsid w:val="00F7358B"/>
    <w:rsid w:val="00F76E1E"/>
    <w:rsid w:val="00F7718D"/>
    <w:rsid w:val="00F849B8"/>
    <w:rsid w:val="00F8746E"/>
    <w:rsid w:val="00F87AD0"/>
    <w:rsid w:val="00F94B92"/>
    <w:rsid w:val="00F96E97"/>
    <w:rsid w:val="00F97EF3"/>
    <w:rsid w:val="00FA2CCC"/>
    <w:rsid w:val="00FA40A8"/>
    <w:rsid w:val="00FA5162"/>
    <w:rsid w:val="00FB0DA1"/>
    <w:rsid w:val="00FB1BB8"/>
    <w:rsid w:val="00FB20BF"/>
    <w:rsid w:val="00FB52E2"/>
    <w:rsid w:val="00FB568A"/>
    <w:rsid w:val="00FB5D54"/>
    <w:rsid w:val="00FB69C9"/>
    <w:rsid w:val="00FB770D"/>
    <w:rsid w:val="00FC0775"/>
    <w:rsid w:val="00FC23A1"/>
    <w:rsid w:val="00FC6489"/>
    <w:rsid w:val="00FD06A0"/>
    <w:rsid w:val="00FD1DE4"/>
    <w:rsid w:val="00FD4236"/>
    <w:rsid w:val="00FD4D2D"/>
    <w:rsid w:val="00FD6FA5"/>
    <w:rsid w:val="00FE0D03"/>
    <w:rsid w:val="00FE29F8"/>
    <w:rsid w:val="00FE37F7"/>
    <w:rsid w:val="00FE3B4D"/>
    <w:rsid w:val="00FE58DB"/>
    <w:rsid w:val="00FF20F1"/>
    <w:rsid w:val="00FF246B"/>
    <w:rsid w:val="00FF357B"/>
    <w:rsid w:val="00FF3D12"/>
    <w:rsid w:val="00FF3D9C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5B64"/>
  <w15:docId w15:val="{5A6AB7DC-C16B-44D8-8991-5C96D288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36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nhideWhenUsed/>
    <w:qFormat/>
    <w:rsid w:val="00E355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355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494232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640021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semiHidden/>
    <w:rsid w:val="00494232"/>
    <w:rPr>
      <w:rFonts w:ascii="Arial" w:eastAsia="Times New Roman" w:hAnsi="Arial" w:cs="Arial"/>
      <w:b/>
      <w:bCs/>
      <w:szCs w:val="24"/>
    </w:rPr>
  </w:style>
  <w:style w:type="character" w:styleId="Tekstrezerviranogmjesta">
    <w:name w:val="Placeholder Text"/>
    <w:basedOn w:val="Zadanifontodlomka"/>
    <w:uiPriority w:val="99"/>
    <w:semiHidden/>
    <w:rsid w:val="001469DC"/>
    <w:rPr>
      <w:color w:val="808080"/>
    </w:rPr>
  </w:style>
  <w:style w:type="paragraph" w:styleId="Tekstbalonia">
    <w:name w:val="Balloon Text"/>
    <w:basedOn w:val="Normal"/>
    <w:link w:val="TekstbaloniaChar"/>
    <w:unhideWhenUsed/>
    <w:rsid w:val="0014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469D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97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70424"/>
  </w:style>
  <w:style w:type="paragraph" w:styleId="Podnoje">
    <w:name w:val="footer"/>
    <w:basedOn w:val="Normal"/>
    <w:link w:val="PodnojeChar"/>
    <w:uiPriority w:val="99"/>
    <w:unhideWhenUsed/>
    <w:rsid w:val="0097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0424"/>
  </w:style>
  <w:style w:type="paragraph" w:styleId="Tijeloteksta">
    <w:name w:val="Body Text"/>
    <w:basedOn w:val="Normal"/>
    <w:link w:val="TijelotekstaChar"/>
    <w:uiPriority w:val="99"/>
    <w:unhideWhenUsed/>
    <w:rsid w:val="002335D6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335D6"/>
    <w:rPr>
      <w:rFonts w:ascii="Arial" w:eastAsia="Times New Roman" w:hAnsi="Arial" w:cs="Arial"/>
      <w:szCs w:val="24"/>
    </w:rPr>
  </w:style>
  <w:style w:type="character" w:customStyle="1" w:styleId="Naslov1Char">
    <w:name w:val="Naslov 1 Char"/>
    <w:basedOn w:val="Zadanifontodlomka"/>
    <w:link w:val="Naslov1"/>
    <w:rsid w:val="0023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uiPriority w:val="99"/>
    <w:unhideWhenUsed/>
    <w:rsid w:val="00236D8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236D87"/>
  </w:style>
  <w:style w:type="paragraph" w:styleId="Bezproreda">
    <w:name w:val="No Spacing"/>
    <w:link w:val="BezproredaChar"/>
    <w:uiPriority w:val="1"/>
    <w:qFormat/>
    <w:rsid w:val="00236D8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23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1">
    <w:name w:val="Svijetlo sjenčanje1"/>
    <w:basedOn w:val="Obinatablica"/>
    <w:uiPriority w:val="60"/>
    <w:rsid w:val="00236D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ijetlosjenanje-Isticanje11">
    <w:name w:val="Svijetlo sjenčanje - Isticanje 11"/>
    <w:basedOn w:val="Obinatablica"/>
    <w:uiPriority w:val="60"/>
    <w:rsid w:val="00236D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236D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5">
    <w:name w:val="Light Shading Accent 5"/>
    <w:basedOn w:val="Obinatablica"/>
    <w:uiPriority w:val="60"/>
    <w:rsid w:val="00236D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4">
    <w:name w:val="Light Shading Accent 4"/>
    <w:basedOn w:val="Obinatablica"/>
    <w:uiPriority w:val="60"/>
    <w:rsid w:val="00236D8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rednjareetka2-Isticanje2">
    <w:name w:val="Medium Grid 2 Accent 2"/>
    <w:basedOn w:val="Obinatablica"/>
    <w:uiPriority w:val="68"/>
    <w:rsid w:val="00236D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1-Isticanje6">
    <w:name w:val="Medium Grid 1 Accent 6"/>
    <w:basedOn w:val="Obinatablica"/>
    <w:uiPriority w:val="67"/>
    <w:rsid w:val="00622EF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ijetlosjenanje">
    <w:name w:val="Light Shading"/>
    <w:basedOn w:val="Obinatablica"/>
    <w:uiPriority w:val="60"/>
    <w:rsid w:val="00AE05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AE05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rednjesjenanje2-Isticanje3">
    <w:name w:val="Medium Shading 2 Accent 3"/>
    <w:basedOn w:val="Obinatablica"/>
    <w:uiPriority w:val="64"/>
    <w:rsid w:val="00E3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ipopis-Isticanje1">
    <w:name w:val="Light List Accent 1"/>
    <w:basedOn w:val="Obinatablica"/>
    <w:uiPriority w:val="61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">
    <w:name w:val="Light List"/>
    <w:basedOn w:val="Obinatablica"/>
    <w:uiPriority w:val="61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rednjareetka-Isticanje6">
    <w:name w:val="Light Grid Accent 6"/>
    <w:basedOn w:val="Obinatablica"/>
    <w:uiPriority w:val="62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-Isticanje5">
    <w:name w:val="Light List Accent 5"/>
    <w:basedOn w:val="Obinatablica"/>
    <w:uiPriority w:val="61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ijetlipopis-Isticanje4">
    <w:name w:val="Light List Accent 4"/>
    <w:basedOn w:val="Obinatablica"/>
    <w:uiPriority w:val="61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3">
    <w:name w:val="Light List Accent 3"/>
    <w:basedOn w:val="Obinatablica"/>
    <w:uiPriority w:val="61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Naslov2Char">
    <w:name w:val="Naslov 2 Char"/>
    <w:basedOn w:val="Zadanifontodlomka"/>
    <w:link w:val="Naslov2"/>
    <w:rsid w:val="00E355C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E355C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Naglaeno">
    <w:name w:val="Strong"/>
    <w:basedOn w:val="Zadanifontodlomka"/>
    <w:uiPriority w:val="22"/>
    <w:qFormat/>
    <w:rsid w:val="00E355C3"/>
    <w:rPr>
      <w:b/>
      <w:bCs/>
    </w:rPr>
  </w:style>
  <w:style w:type="character" w:styleId="Istaknuto">
    <w:name w:val="Emphasis"/>
    <w:basedOn w:val="Zadanifontodlomka"/>
    <w:uiPriority w:val="20"/>
    <w:qFormat/>
    <w:rsid w:val="00E355C3"/>
    <w:rPr>
      <w:i/>
      <w:iCs/>
    </w:rPr>
  </w:style>
  <w:style w:type="paragraph" w:styleId="StandardWeb">
    <w:name w:val="Normal (Web)"/>
    <w:basedOn w:val="Normal"/>
    <w:uiPriority w:val="99"/>
    <w:unhideWhenUsed/>
    <w:rsid w:val="00E3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rsid w:val="00E355C3"/>
    <w:rPr>
      <w:color w:val="0000FF"/>
      <w:u w:val="single"/>
    </w:rPr>
  </w:style>
  <w:style w:type="paragraph" w:styleId="Datum">
    <w:name w:val="Date"/>
    <w:basedOn w:val="Normal"/>
    <w:next w:val="Normal"/>
    <w:link w:val="DatumChar"/>
    <w:rsid w:val="00E3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umChar">
    <w:name w:val="Datum Char"/>
    <w:basedOn w:val="Zadanifontodlomka"/>
    <w:link w:val="Datum"/>
    <w:rsid w:val="00E355C3"/>
    <w:rPr>
      <w:rFonts w:ascii="Times New Roman" w:eastAsia="Times New Roman" w:hAnsi="Times New Roman" w:cs="Times New Roman"/>
      <w:sz w:val="24"/>
      <w:szCs w:val="24"/>
    </w:rPr>
  </w:style>
  <w:style w:type="character" w:customStyle="1" w:styleId="ft">
    <w:name w:val="ft"/>
    <w:basedOn w:val="Zadanifontodlomka"/>
    <w:uiPriority w:val="99"/>
    <w:rsid w:val="00E355C3"/>
  </w:style>
  <w:style w:type="character" w:customStyle="1" w:styleId="apple-style-span">
    <w:name w:val="apple-style-span"/>
    <w:basedOn w:val="Zadanifontodlomka"/>
    <w:rsid w:val="00E355C3"/>
  </w:style>
  <w:style w:type="paragraph" w:customStyle="1" w:styleId="Default">
    <w:name w:val="Default"/>
    <w:rsid w:val="00E35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E355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E355C3"/>
    <w:rPr>
      <w:rFonts w:ascii="Times New Roman" w:eastAsia="Times New Roman" w:hAnsi="Times New Roman" w:cs="Times New Roman"/>
      <w:snapToGrid w:val="0"/>
      <w:color w:val="000000"/>
      <w:szCs w:val="20"/>
      <w:lang w:val="en-GB" w:eastAsia="en-US"/>
    </w:rPr>
  </w:style>
  <w:style w:type="paragraph" w:customStyle="1" w:styleId="T-98-2">
    <w:name w:val="T-9/8-2"/>
    <w:rsid w:val="00E355C3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</w:rPr>
  </w:style>
  <w:style w:type="paragraph" w:customStyle="1" w:styleId="text">
    <w:name w:val="text"/>
    <w:basedOn w:val="Normal"/>
    <w:rsid w:val="00E355C3"/>
    <w:pPr>
      <w:spacing w:before="75" w:after="225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55C3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55C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Neupadljivareferenca">
    <w:name w:val="Subtle Reference"/>
    <w:basedOn w:val="Zadanifontodlomka"/>
    <w:uiPriority w:val="31"/>
    <w:qFormat/>
    <w:rsid w:val="00E355C3"/>
    <w:rPr>
      <w:smallCaps/>
      <w:color w:val="C0504D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E355C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E355C3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Istaknutareferenca">
    <w:name w:val="Intense Reference"/>
    <w:basedOn w:val="Zadanifontodlomka"/>
    <w:uiPriority w:val="32"/>
    <w:qFormat/>
    <w:rsid w:val="00E355C3"/>
    <w:rPr>
      <w:b/>
      <w:bCs/>
      <w:smallCaps/>
      <w:color w:val="C0504D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E355C3"/>
    <w:rPr>
      <w:b/>
      <w:bCs/>
      <w:smallCaps/>
      <w:spacing w:val="5"/>
    </w:rPr>
  </w:style>
  <w:style w:type="character" w:styleId="Jakoisticanje">
    <w:name w:val="Intense Emphasis"/>
    <w:basedOn w:val="Zadanifontodlomka"/>
    <w:uiPriority w:val="21"/>
    <w:qFormat/>
    <w:rsid w:val="00E355C3"/>
    <w:rPr>
      <w:b/>
      <w:bCs/>
      <w:i/>
      <w:iCs/>
      <w:color w:val="4F81BD"/>
    </w:rPr>
  </w:style>
  <w:style w:type="paragraph" w:styleId="Naslov">
    <w:name w:val="Title"/>
    <w:basedOn w:val="Normal"/>
    <w:next w:val="Normal"/>
    <w:link w:val="NaslovChar"/>
    <w:qFormat/>
    <w:rsid w:val="00E355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E355C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ezproreda1">
    <w:name w:val="Bez proreda1"/>
    <w:rsid w:val="00E355C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Zadanifontodlomka"/>
    <w:rsid w:val="00E355C3"/>
  </w:style>
  <w:style w:type="paragraph" w:customStyle="1" w:styleId="Odlomakpopisa1">
    <w:name w:val="Odlomak popisa1"/>
    <w:basedOn w:val="Normal"/>
    <w:uiPriority w:val="99"/>
    <w:rsid w:val="00E355C3"/>
    <w:pPr>
      <w:ind w:left="720"/>
    </w:pPr>
    <w:rPr>
      <w:rFonts w:ascii="Calibri" w:eastAsia="Calibri" w:hAnsi="Calibri" w:cs="Times New Roman"/>
    </w:rPr>
  </w:style>
  <w:style w:type="character" w:customStyle="1" w:styleId="st">
    <w:name w:val="st"/>
    <w:basedOn w:val="Zadanifontodlomka"/>
    <w:rsid w:val="00E355C3"/>
  </w:style>
  <w:style w:type="paragraph" w:customStyle="1" w:styleId="clanak">
    <w:name w:val="clanak"/>
    <w:basedOn w:val="Normal"/>
    <w:rsid w:val="00E355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3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E355C3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E355C3"/>
    <w:rPr>
      <w:rFonts w:ascii="Calibri" w:eastAsiaTheme="minorHAnsi" w:hAnsi="Calibri"/>
      <w:szCs w:val="21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E355C3"/>
  </w:style>
  <w:style w:type="paragraph" w:customStyle="1" w:styleId="GrayText">
    <w:name w:val="GrayText"/>
    <w:basedOn w:val="Normal"/>
    <w:rsid w:val="00E355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C0C0C0"/>
    </w:rPr>
  </w:style>
  <w:style w:type="character" w:customStyle="1" w:styleId="BezproredaChar">
    <w:name w:val="Bez proreda Char"/>
    <w:link w:val="Bezproreda"/>
    <w:uiPriority w:val="1"/>
    <w:locked/>
    <w:rsid w:val="00E355C3"/>
  </w:style>
  <w:style w:type="paragraph" w:customStyle="1" w:styleId="v1msonormal">
    <w:name w:val="v1msonormal"/>
    <w:basedOn w:val="Normal"/>
    <w:rsid w:val="00E3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icareetke2-isticanje3">
    <w:name w:val="Grid Table 2 Accent 3"/>
    <w:basedOn w:val="Obinatablica"/>
    <w:uiPriority w:val="47"/>
    <w:rsid w:val="00FB1BB8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mnatablicareetke5-isticanje4">
    <w:name w:val="Grid Table 5 Dark Accent 4"/>
    <w:basedOn w:val="Obinatablica"/>
    <w:uiPriority w:val="50"/>
    <w:rsid w:val="00FB1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FB1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icapopisa2-isticanje5">
    <w:name w:val="List Table 2 Accent 5"/>
    <w:basedOn w:val="Obinatablica"/>
    <w:uiPriority w:val="47"/>
    <w:rsid w:val="00FB1BB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3-isticanje5">
    <w:name w:val="List Table 3 Accent 5"/>
    <w:basedOn w:val="Obinatablica"/>
    <w:uiPriority w:val="48"/>
    <w:rsid w:val="00FB1BB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Svijetlatablicareetke1-isticanje4">
    <w:name w:val="Grid Table 1 Light Accent 4"/>
    <w:basedOn w:val="Obinatablica"/>
    <w:uiPriority w:val="46"/>
    <w:rsid w:val="00FB1BB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3">
    <w:name w:val="Grid Table 3 Accent 3"/>
    <w:basedOn w:val="Obinatablica"/>
    <w:uiPriority w:val="48"/>
    <w:rsid w:val="00FC077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240473653664573E-2"/>
          <c:y val="6.2844157903080922E-3"/>
          <c:w val="0.96439125802344017"/>
          <c:h val="0.70976878659398335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16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573-48D0-810F-9521AB615B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573-48D0-810F-9521AB615B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573-48D0-810F-9521AB615B0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573-48D0-810F-9521AB615B0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573-48D0-810F-9521AB615B0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573-48D0-810F-9521AB615B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List1!$B$3:$B$8</c:f>
              <c:strCache>
                <c:ptCount val="6"/>
                <c:pt idx="0">
                  <c:v>Porez na dohodak</c:v>
                </c:pt>
                <c:pt idx="1">
                  <c:v>Porez na kuće za odmor</c:v>
                </c:pt>
                <c:pt idx="2">
                  <c:v>Porez na korišt. jav.povr.</c:v>
                </c:pt>
                <c:pt idx="3">
                  <c:v>Porez na promet nekretnina</c:v>
                </c:pt>
                <c:pt idx="4">
                  <c:v>Porez na potrošnju</c:v>
                </c:pt>
                <c:pt idx="5">
                  <c:v>Porez na nekretnine</c:v>
                </c:pt>
              </c:strCache>
            </c:strRef>
          </c:cat>
          <c:val>
            <c:numRef>
              <c:f>List1!$C$3:$C$8</c:f>
              <c:numCache>
                <c:formatCode>#,##0</c:formatCode>
                <c:ptCount val="6"/>
                <c:pt idx="0">
                  <c:v>7515873</c:v>
                </c:pt>
                <c:pt idx="1">
                  <c:v>51258</c:v>
                </c:pt>
                <c:pt idx="2">
                  <c:v>361596</c:v>
                </c:pt>
                <c:pt idx="3">
                  <c:v>1156356</c:v>
                </c:pt>
                <c:pt idx="4">
                  <c:v>164326</c:v>
                </c:pt>
                <c:pt idx="5">
                  <c:v>11527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573-48D0-810F-9521AB615B0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258252798329171E-2"/>
          <c:y val="0.74257922232564377"/>
          <c:w val="0.9221689207143956"/>
          <c:h val="0.18212472642197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4856973976976476"/>
          <c:w val="0.93888888888888888"/>
          <c:h val="0.734976716620099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List1!$B$15</c:f>
              <c:strCache>
                <c:ptCount val="1"/>
                <c:pt idx="0">
                  <c:v>Prihodi od financijske imovine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List1!$C$14:$D$14</c:f>
              <c:strCache>
                <c:ptCount val="2"/>
                <c:pt idx="0">
                  <c:v>I.-VI.2024.</c:v>
                </c:pt>
                <c:pt idx="1">
                  <c:v>I.-VI.2025.</c:v>
                </c:pt>
              </c:strCache>
            </c:strRef>
          </c:cat>
          <c:val>
            <c:numRef>
              <c:f>List1!$C$15:$D$15</c:f>
              <c:numCache>
                <c:formatCode>#,##0</c:formatCode>
                <c:ptCount val="2"/>
                <c:pt idx="0">
                  <c:v>137408</c:v>
                </c:pt>
                <c:pt idx="1">
                  <c:v>133072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82-43E7-A145-0BE2B44487B1}"/>
            </c:ext>
          </c:extLst>
        </c:ser>
        <c:ser>
          <c:idx val="1"/>
          <c:order val="1"/>
          <c:tx>
            <c:strRef>
              <c:f>List1!$B$16</c:f>
              <c:strCache>
                <c:ptCount val="1"/>
                <c:pt idx="0">
                  <c:v>Prihodi od nefinanc. imovine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List1!$C$14:$D$14</c:f>
              <c:strCache>
                <c:ptCount val="2"/>
                <c:pt idx="0">
                  <c:v>I.-VI.2024.</c:v>
                </c:pt>
                <c:pt idx="1">
                  <c:v>I.-VI.2025.</c:v>
                </c:pt>
              </c:strCache>
            </c:strRef>
          </c:cat>
          <c:val>
            <c:numRef>
              <c:f>List1!$C$16:$D$16</c:f>
              <c:numCache>
                <c:formatCode>#,##0</c:formatCode>
                <c:ptCount val="2"/>
                <c:pt idx="0">
                  <c:v>303214</c:v>
                </c:pt>
                <c:pt idx="1">
                  <c:v>672626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82-43E7-A145-0BE2B44487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0867583"/>
        <c:axId val="110871743"/>
      </c:barChart>
      <c:catAx>
        <c:axId val="1108675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10871743"/>
        <c:crosses val="autoZero"/>
        <c:auto val="1"/>
        <c:lblAlgn val="ctr"/>
        <c:lblOffset val="100"/>
        <c:noMultiLvlLbl val="0"/>
      </c:catAx>
      <c:valAx>
        <c:axId val="110871743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10867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6166903718040829E-2"/>
          <c:y val="2.2253132595670216E-2"/>
          <c:w val="0.85263205227838146"/>
          <c:h val="6.69749202523073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381652594630492E-4"/>
          <c:y val="0.32917485314335704"/>
          <c:w val="0.98796775643583357"/>
          <c:h val="0.66994106564900247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BC7-4B7C-9C4F-A919617481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BC7-4B7C-9C4F-A919617481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BC7-4B7C-9C4F-A9196174812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9BC7-4B7C-9C4F-A9196174812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9BC7-4B7C-9C4F-A9196174812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9BC7-4B7C-9C4F-A9196174812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9BC7-4B7C-9C4F-A9196174812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9BC7-4B7C-9C4F-A9196174812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9BC7-4B7C-9C4F-A91961748126}"/>
                </c:ext>
              </c:extLst>
            </c:dLbl>
            <c:dLbl>
              <c:idx val="2"/>
              <c:layout>
                <c:manualLayout>
                  <c:x val="0"/>
                  <c:y val="-0.1701587301587302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C7-4B7C-9C4F-A9196174812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9BC7-4B7C-9C4F-A91961748126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9BC7-4B7C-9C4F-A91961748126}"/>
                </c:ext>
              </c:extLst>
            </c:dLbl>
            <c:dLbl>
              <c:idx val="5"/>
              <c:layout>
                <c:manualLayout>
                  <c:x val="-1.6064276369123585E-2"/>
                  <c:y val="-9.79486488394329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BC7-4B7C-9C4F-A91961748126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9BC7-4B7C-9C4F-A919617481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List1!$B$40:$B$46</c:f>
              <c:strCache>
                <c:ptCount val="7"/>
                <c:pt idx="0">
                  <c:v>I. Upravni odjel za opću upravu </c:v>
                </c:pt>
                <c:pt idx="1">
                  <c:v>II. Upravni odjel za financije</c:v>
                </c:pt>
                <c:pt idx="2">
                  <c:v>III. Upravni odjel za društvene djelatnosti</c:v>
                </c:pt>
                <c:pt idx="3">
                  <c:v>IV. Upravni odjel za gospodarstvo i EU fondove</c:v>
                </c:pt>
                <c:pt idx="4">
                  <c:v>V. Upravni odjel za komunalni sustav</c:v>
                </c:pt>
                <c:pt idx="5">
                  <c:v>VI. Upravni odjel za prostorno planiranje i zaštitu okoliša</c:v>
                </c:pt>
                <c:pt idx="6">
                  <c:v>VII. Upravni odjel za prostorno uređenje i gradnju</c:v>
                </c:pt>
              </c:strCache>
            </c:strRef>
          </c:cat>
          <c:val>
            <c:numRef>
              <c:f>List1!$C$40:$C$46</c:f>
              <c:numCache>
                <c:formatCode>#,##0</c:formatCode>
                <c:ptCount val="7"/>
                <c:pt idx="0">
                  <c:v>2424433</c:v>
                </c:pt>
                <c:pt idx="1">
                  <c:v>950533</c:v>
                </c:pt>
                <c:pt idx="2">
                  <c:v>19199477</c:v>
                </c:pt>
                <c:pt idx="3">
                  <c:v>599949</c:v>
                </c:pt>
                <c:pt idx="4">
                  <c:v>2997198</c:v>
                </c:pt>
                <c:pt idx="5">
                  <c:v>254264</c:v>
                </c:pt>
                <c:pt idx="6">
                  <c:v>68635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BC7-4B7C-9C4F-A9196174812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9DA4-F210-4BF0-84FA-7C5BD344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4153</TotalTime>
  <Pages>14</Pages>
  <Words>4247</Words>
  <Characters>24208</Characters>
  <Application>Microsoft Office Word</Application>
  <DocSecurity>0</DocSecurity>
  <Lines>201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Krištofić Brenčić</dc:creator>
  <cp:lastModifiedBy>Tatjana Matošević</cp:lastModifiedBy>
  <cp:revision>366</cp:revision>
  <cp:lastPrinted>2025-08-14T10:36:00Z</cp:lastPrinted>
  <dcterms:created xsi:type="dcterms:W3CDTF">2021-08-04T07:51:00Z</dcterms:created>
  <dcterms:modified xsi:type="dcterms:W3CDTF">2025-09-30T10:36:00Z</dcterms:modified>
</cp:coreProperties>
</file>